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Style w:val="5"/>
          <w:rFonts w:ascii="黑体" w:hAnsi="宋体" w:eastAsia="黑体" w:cs="黑体"/>
          <w:i w:val="0"/>
          <w:caps w:val="0"/>
          <w:color w:val="000000"/>
          <w:spacing w:val="0"/>
          <w:sz w:val="22"/>
          <w:szCs w:val="22"/>
          <w:shd w:val="clear" w:fill="FFFFFF"/>
        </w:rPr>
        <w:t>（一）博士研究生（20人）</w:t>
      </w:r>
    </w:p>
    <w:tbl>
      <w:tblPr>
        <w:tblW w:w="8232"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88"/>
        <w:gridCol w:w="1092"/>
        <w:gridCol w:w="5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blCellSpacing w:w="0" w:type="dxa"/>
        </w:trPr>
        <w:tc>
          <w:tcPr>
            <w:tcW w:w="118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hd w:val="clear" w:fill="FFFFFF"/>
              <w:jc w:val="center"/>
            </w:pPr>
            <w:r>
              <w:rPr>
                <w:rStyle w:val="5"/>
                <w:rFonts w:ascii="仿宋" w:hAnsi="仿宋" w:eastAsia="仿宋" w:cs="仿宋"/>
                <w:i w:val="0"/>
                <w:caps w:val="0"/>
                <w:color w:val="000000"/>
                <w:spacing w:val="0"/>
                <w:sz w:val="22"/>
                <w:szCs w:val="22"/>
                <w:bdr w:val="none" w:color="auto" w:sz="0" w:space="0"/>
                <w:shd w:val="clear" w:fill="FFFFFF"/>
              </w:rPr>
              <w:t>招聘岗位</w:t>
            </w:r>
          </w:p>
        </w:tc>
        <w:tc>
          <w:tcPr>
            <w:tcW w:w="1092"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hd w:val="clear" w:fill="FFFFFF"/>
              <w:jc w:val="center"/>
            </w:pPr>
            <w:r>
              <w:rPr>
                <w:rStyle w:val="5"/>
                <w:rFonts w:hint="eastAsia" w:ascii="仿宋" w:hAnsi="仿宋" w:eastAsia="仿宋" w:cs="仿宋"/>
                <w:i w:val="0"/>
                <w:caps w:val="0"/>
                <w:color w:val="000000"/>
                <w:spacing w:val="0"/>
                <w:sz w:val="22"/>
                <w:szCs w:val="22"/>
                <w:bdr w:val="none" w:color="auto" w:sz="0" w:space="0"/>
                <w:shd w:val="clear" w:fill="FFFFFF"/>
              </w:rPr>
              <w:t>招聘人数</w:t>
            </w:r>
          </w:p>
        </w:tc>
        <w:tc>
          <w:tcPr>
            <w:tcW w:w="5952"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hd w:val="clear" w:fill="FFFFFF"/>
              <w:ind w:left="0" w:firstLine="444"/>
              <w:jc w:val="center"/>
            </w:pPr>
            <w:r>
              <w:rPr>
                <w:rStyle w:val="5"/>
                <w:rFonts w:hint="eastAsia" w:ascii="仿宋" w:hAnsi="仿宋" w:eastAsia="仿宋" w:cs="仿宋"/>
                <w:i w:val="0"/>
                <w:caps w:val="0"/>
                <w:color w:val="000000"/>
                <w:spacing w:val="0"/>
                <w:sz w:val="22"/>
                <w:szCs w:val="22"/>
                <w:bdr w:val="none" w:color="auto" w:sz="0" w:space="0"/>
                <w:shd w:val="clear" w:fill="FFFFFF"/>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blCellSpacing w:w="0" w:type="dxa"/>
        </w:trPr>
        <w:tc>
          <w:tcPr>
            <w:tcW w:w="118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w:t>
            </w:r>
          </w:p>
        </w:tc>
        <w:tc>
          <w:tcPr>
            <w:tcW w:w="10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20</w:t>
            </w:r>
          </w:p>
        </w:tc>
        <w:tc>
          <w:tcPr>
            <w:tcW w:w="595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博士研究生学历学位。专业为：马克思主义理论类（0305、需为中共党员）、政治学类（0302、需为中共党员）、学前教育学（040105）、高等教育学（040106）、职业技术教育学（040108）、教育技术学（040110）、体育学（0403）、数学（0701）、化学（0703）、地图学与地理信息系统（070503）、地质学（0709）、机械工程（0802）、冶金工程专业（080603）、材料科学与工程专业（080401、研究方向为稀土磁性材料）、信息与通信工程（0810）、控制科学与工程（0811）、计算机科学与技术（0812）、建筑学（0813）、土木工程（0814）、测绘科学与技术（0816）、化学工程与技术（0817）、地质资源与地质工程（0818）、交通运输工程（0823）、管理科学与工程（1201）、工商管理（1202）、公共管理（1204）、艺术学理论（1301）、音乐与舞蹈（1302）、美术学（1304）、设计学（1305）。</w:t>
            </w:r>
          </w:p>
        </w:tc>
      </w:tr>
    </w:tbl>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Style w:val="5"/>
          <w:rFonts w:hint="eastAsia" w:ascii="黑体" w:hAnsi="宋体" w:eastAsia="黑体" w:cs="黑体"/>
          <w:i w:val="0"/>
          <w:caps w:val="0"/>
          <w:color w:val="000000"/>
          <w:spacing w:val="0"/>
          <w:sz w:val="22"/>
          <w:szCs w:val="22"/>
          <w:shd w:val="clear" w:fill="FFFFFF"/>
        </w:rPr>
        <w:t>（二）硕士研究生</w:t>
      </w:r>
    </w:p>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Style w:val="5"/>
          <w:rFonts w:hint="eastAsia" w:ascii="黑体" w:hAnsi="宋体" w:eastAsia="黑体" w:cs="黑体"/>
          <w:i w:val="0"/>
          <w:caps w:val="0"/>
          <w:color w:val="000000"/>
          <w:spacing w:val="0"/>
          <w:sz w:val="22"/>
          <w:szCs w:val="22"/>
          <w:shd w:val="clear" w:fill="FFFFFF"/>
        </w:rPr>
        <w:t>1.教学单位（</w:t>
      </w:r>
      <w:r>
        <w:rPr>
          <w:rStyle w:val="5"/>
          <w:rFonts w:hint="eastAsia" w:ascii="黑体" w:hAnsi="宋体" w:eastAsia="黑体" w:cs="黑体"/>
          <w:i w:val="0"/>
          <w:caps w:val="0"/>
          <w:color w:val="FF0000"/>
          <w:spacing w:val="0"/>
          <w:sz w:val="22"/>
          <w:szCs w:val="22"/>
          <w:shd w:val="clear" w:fill="FFFFFF"/>
        </w:rPr>
        <w:t>60</w:t>
      </w:r>
      <w:r>
        <w:rPr>
          <w:rStyle w:val="5"/>
          <w:rFonts w:hint="eastAsia" w:ascii="黑体" w:hAnsi="宋体" w:eastAsia="黑体" w:cs="黑体"/>
          <w:i w:val="0"/>
          <w:caps w:val="0"/>
          <w:color w:val="000000"/>
          <w:spacing w:val="0"/>
          <w:sz w:val="22"/>
          <w:szCs w:val="22"/>
          <w:shd w:val="clear" w:fill="FFFFFF"/>
        </w:rPr>
        <w:t>人）</w:t>
      </w:r>
    </w:p>
    <w:tbl>
      <w:tblPr>
        <w:tblW w:w="8076"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
        <w:gridCol w:w="1020"/>
        <w:gridCol w:w="792"/>
        <w:gridCol w:w="5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trPr>
        <w:tc>
          <w:tcPr>
            <w:tcW w:w="1860" w:type="dxa"/>
            <w:gridSpan w:val="2"/>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shd w:val="clear" w:fill="FFFFFF"/>
              <w:ind w:left="0" w:firstLine="36"/>
              <w:jc w:val="center"/>
            </w:pPr>
            <w:r>
              <w:rPr>
                <w:rStyle w:val="5"/>
                <w:rFonts w:hint="eastAsia" w:ascii="仿宋" w:hAnsi="仿宋" w:eastAsia="仿宋" w:cs="仿宋"/>
                <w:i w:val="0"/>
                <w:caps w:val="0"/>
                <w:color w:val="000000"/>
                <w:spacing w:val="0"/>
                <w:sz w:val="22"/>
                <w:szCs w:val="22"/>
                <w:bdr w:val="none" w:color="auto" w:sz="0" w:space="0"/>
                <w:shd w:val="clear" w:fill="FFFFFF"/>
              </w:rPr>
              <w:t>招聘岗位</w:t>
            </w:r>
          </w:p>
        </w:tc>
        <w:tc>
          <w:tcPr>
            <w:tcW w:w="79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shd w:val="clear" w:fill="FFFFFF"/>
              <w:jc w:val="center"/>
            </w:pPr>
            <w:r>
              <w:rPr>
                <w:rStyle w:val="5"/>
                <w:rFonts w:hint="eastAsia" w:ascii="仿宋" w:hAnsi="仿宋" w:eastAsia="仿宋" w:cs="仿宋"/>
                <w:i w:val="0"/>
                <w:caps w:val="0"/>
                <w:color w:val="000000"/>
                <w:spacing w:val="0"/>
                <w:sz w:val="22"/>
                <w:szCs w:val="22"/>
                <w:bdr w:val="none" w:color="auto" w:sz="0" w:space="0"/>
                <w:shd w:val="clear" w:fill="FFFFFF"/>
              </w:rPr>
              <w:t>招聘</w:t>
            </w:r>
          </w:p>
          <w:p>
            <w:pPr>
              <w:pStyle w:val="2"/>
              <w:keepNext w:val="0"/>
              <w:keepLines w:val="0"/>
              <w:widowControl/>
              <w:suppressLineNumbers w:val="0"/>
              <w:shd w:val="clear" w:fill="FFFFFF"/>
              <w:jc w:val="center"/>
            </w:pPr>
            <w:r>
              <w:rPr>
                <w:rStyle w:val="5"/>
                <w:rFonts w:hint="eastAsia" w:ascii="仿宋" w:hAnsi="仿宋" w:eastAsia="仿宋" w:cs="仿宋"/>
                <w:i w:val="0"/>
                <w:caps w:val="0"/>
                <w:color w:val="000000"/>
                <w:spacing w:val="0"/>
                <w:sz w:val="22"/>
                <w:szCs w:val="22"/>
                <w:bdr w:val="none" w:color="auto" w:sz="0" w:space="0"/>
                <w:shd w:val="clear" w:fill="FFFFFF"/>
              </w:rPr>
              <w:t>人数</w:t>
            </w:r>
          </w:p>
        </w:tc>
        <w:tc>
          <w:tcPr>
            <w:tcW w:w="542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shd w:val="clear" w:fill="FFFFFF"/>
              <w:ind w:left="0" w:firstLine="444"/>
              <w:jc w:val="center"/>
            </w:pPr>
            <w:r>
              <w:rPr>
                <w:rStyle w:val="5"/>
                <w:rFonts w:hint="eastAsia" w:ascii="仿宋" w:hAnsi="仿宋" w:eastAsia="仿宋" w:cs="仿宋"/>
                <w:i w:val="0"/>
                <w:caps w:val="0"/>
                <w:color w:val="000000"/>
                <w:spacing w:val="0"/>
                <w:sz w:val="22"/>
                <w:szCs w:val="22"/>
                <w:bdr w:val="none" w:color="auto" w:sz="0" w:space="0"/>
                <w:shd w:val="clear" w:fill="FFFFFF"/>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blCellSpacing w:w="0" w:type="dxa"/>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资源环境与珠宝学院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地质工程（081803）、水文与水资源工程（081501）、水土保持与荒漠化防治（090707）专业；全日制本科专业为地质学（070901）、水土保持与荒漠化防治（090203）、水文与水资源工程（081102）、生态学（071004）专业。具有3年及以上本专业或相近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840" w:type="dxa"/>
            <w:vMerge w:val="restart"/>
            <w:tcBorders>
              <w:top w:val="nil"/>
              <w:left w:val="single" w:color="auto" w:sz="4" w:space="0"/>
              <w:bottom w:val="nil"/>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汽车学院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全日制硕士研究生学历学位，车辆工程专业(080204)或机械工程类(0802)专业；全日制本科专业为车辆工程专业(080207)、汽车服务工程 (080208)或汽车维修工程教育（080212T）专业</w:t>
            </w:r>
            <w:r>
              <w:rPr>
                <w:rStyle w:val="5"/>
                <w:rFonts w:hint="eastAsia" w:ascii="仿宋" w:hAnsi="仿宋" w:eastAsia="仿宋" w:cs="仿宋"/>
                <w:i w:val="0"/>
                <w:caps w:val="0"/>
                <w:color w:val="000000"/>
                <w:spacing w:val="0"/>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trPr>
        <w:tc>
          <w:tcPr>
            <w:tcW w:w="840"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全日制硕士研究生学历学位，控制理论与控制工程 (081101)、检测技术与自动化装置（081102）、系统工程（081103）、模式识别与智能系统（081104）或机械电子工程（080202）专业；全日制本科专业相同或相近。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840" w:type="dxa"/>
            <w:vMerge w:val="restart"/>
            <w:tcBorders>
              <w:top w:val="single" w:color="auto" w:sz="4" w:space="0"/>
              <w:left w:val="single" w:color="auto" w:sz="4" w:space="0"/>
              <w:bottom w:val="nil"/>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机械与电子工程学院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电子科学与技术（0819）、信息与通信工程（0810）、仪器科学与技术（0804）、电子与通信工程（085208）或电子信息（0854）专业；全日制本科为电子信息类（0807）或仪器类（0803）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840"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电气工程(0808)、机械制造及其自动化（080201）、机械电子工程(080202)、电气工程（085207）、控制科学与工程（0811）或控制工程（085210）专业；全日制本科为电气类专业（0806）或机械类专业（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840"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全日制硕士研究生学历学位，控制科学与工程(0811)或控制工程（085210）；全日制本科为自动化(080801)、电气工程及其自动化(080601)或电子信息类（0807）专业。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840"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教师4岗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全日制硕士研究生学历学位，机械工程(0802)或机械工程(085201)专业；全日制本科为机械类（0802）专业。具有3年及以上本专业或相近专业工作经历。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trPr>
        <w:tc>
          <w:tcPr>
            <w:tcW w:w="840"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信息工程学院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textAlignment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textAlignment w:val="center"/>
            </w:pPr>
            <w:r>
              <w:rPr>
                <w:rFonts w:hint="eastAsia" w:ascii="仿宋" w:hAnsi="仿宋" w:eastAsia="仿宋" w:cs="仿宋"/>
                <w:i w:val="0"/>
                <w:caps w:val="0"/>
                <w:color w:val="323232"/>
                <w:spacing w:val="0"/>
                <w:sz w:val="19"/>
                <w:szCs w:val="19"/>
                <w:bdr w:val="none" w:color="auto" w:sz="0" w:space="0"/>
              </w:rPr>
              <w:t>4</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textAlignment w:val="center"/>
            </w:pPr>
            <w:r>
              <w:rPr>
                <w:rFonts w:hint="eastAsia" w:ascii="仿宋" w:hAnsi="仿宋" w:eastAsia="仿宋" w:cs="仿宋"/>
                <w:i w:val="0"/>
                <w:caps w:val="0"/>
                <w:color w:val="323232"/>
                <w:spacing w:val="0"/>
                <w:sz w:val="19"/>
                <w:szCs w:val="19"/>
                <w:bdr w:val="none" w:color="auto" w:sz="0" w:space="0"/>
              </w:rPr>
              <w:t>全日制硕士研究生学历学位，计算机科学与技术类专业（0812）、信息与通信工程类（0810）、控制科学与工程（0811，含控制理论与控制工程081101、模拟识别与智能系统081104）；全</w:t>
            </w:r>
            <w:r>
              <w:rPr>
                <w:rFonts w:hint="eastAsia" w:ascii="仿宋" w:hAnsi="仿宋" w:eastAsia="仿宋" w:cs="仿宋"/>
                <w:i w:val="0"/>
                <w:caps w:val="0"/>
                <w:color w:val="000000"/>
                <w:spacing w:val="0"/>
                <w:sz w:val="19"/>
                <w:szCs w:val="19"/>
                <w:bdr w:val="none" w:color="auto" w:sz="0" w:space="0"/>
              </w:rPr>
              <w:t>日制本科专业相同或相近。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trPr>
        <w:tc>
          <w:tcPr>
            <w:tcW w:w="840"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textAlignment w:val="center"/>
            </w:pPr>
            <w:r>
              <w:rPr>
                <w:rFonts w:hint="eastAsia" w:ascii="仿宋" w:hAnsi="仿宋" w:eastAsia="仿宋" w:cs="仿宋"/>
                <w:i w:val="0"/>
                <w:caps w:val="0"/>
                <w:color w:val="323232"/>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textAlignment w:val="center"/>
            </w:pPr>
            <w:r>
              <w:rPr>
                <w:rFonts w:hint="eastAsia" w:ascii="仿宋" w:hAnsi="仿宋" w:eastAsia="仿宋" w:cs="仿宋"/>
                <w:i w:val="0"/>
                <w:caps w:val="0"/>
                <w:color w:val="323232"/>
                <w:spacing w:val="0"/>
                <w:sz w:val="19"/>
                <w:szCs w:val="19"/>
                <w:bdr w:val="none" w:color="auto" w:sz="0" w:space="0"/>
              </w:rPr>
              <w:t>3</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textAlignment w:val="center"/>
            </w:pPr>
            <w:r>
              <w:rPr>
                <w:rFonts w:hint="eastAsia" w:ascii="仿宋" w:hAnsi="仿宋" w:eastAsia="仿宋" w:cs="仿宋"/>
                <w:i w:val="0"/>
                <w:caps w:val="0"/>
                <w:color w:val="323232"/>
                <w:spacing w:val="0"/>
                <w:sz w:val="19"/>
                <w:szCs w:val="19"/>
                <w:bdr w:val="none" w:color="auto" w:sz="0" w:space="0"/>
              </w:rPr>
              <w:t>全日制硕士研究生学历学位，电子科学与技术类专业（0809，含电路与系统080902）或信息与通信工程类（0810）类专业；</w:t>
            </w:r>
            <w:r>
              <w:rPr>
                <w:rFonts w:hint="eastAsia" w:ascii="仿宋" w:hAnsi="仿宋" w:eastAsia="仿宋" w:cs="仿宋"/>
                <w:i w:val="0"/>
                <w:caps w:val="0"/>
                <w:color w:val="000000"/>
                <w:spacing w:val="0"/>
                <w:sz w:val="19"/>
                <w:szCs w:val="19"/>
                <w:bdr w:val="none" w:color="auto" w:sz="0" w:space="0"/>
              </w:rPr>
              <w:t>全日制本科</w:t>
            </w:r>
            <w:r>
              <w:rPr>
                <w:rFonts w:hint="eastAsia" w:ascii="仿宋" w:hAnsi="仿宋" w:eastAsia="仿宋" w:cs="仿宋"/>
                <w:i w:val="0"/>
                <w:caps w:val="0"/>
                <w:color w:val="323232"/>
                <w:spacing w:val="0"/>
                <w:sz w:val="19"/>
                <w:szCs w:val="19"/>
                <w:bdr w:val="none" w:color="auto" w:sz="0" w:space="0"/>
              </w:rPr>
              <w:t>专业相同或相近。</w:t>
            </w:r>
            <w:r>
              <w:rPr>
                <w:rFonts w:hint="eastAsia" w:ascii="仿宋" w:hAnsi="仿宋" w:eastAsia="仿宋" w:cs="仿宋"/>
                <w:i w:val="0"/>
                <w:caps w:val="0"/>
                <w:color w:val="000000"/>
                <w:spacing w:val="0"/>
                <w:sz w:val="19"/>
                <w:szCs w:val="19"/>
                <w:bdr w:val="none" w:color="auto" w:sz="0" w:space="0"/>
              </w:rPr>
              <w:t>具有3年及以上本专业或相近专业工作经历。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blCellSpacing w:w="0" w:type="dxa"/>
        </w:trPr>
        <w:tc>
          <w:tcPr>
            <w:tcW w:w="840"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textAlignment w:val="center"/>
            </w:pPr>
            <w:r>
              <w:rPr>
                <w:rFonts w:hint="eastAsia" w:ascii="仿宋" w:hAnsi="仿宋" w:eastAsia="仿宋" w:cs="仿宋"/>
                <w:i w:val="0"/>
                <w:caps w:val="0"/>
                <w:color w:val="323232"/>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textAlignment w:val="center"/>
            </w:pPr>
            <w:r>
              <w:rPr>
                <w:rFonts w:hint="eastAsia" w:ascii="仿宋" w:hAnsi="仿宋" w:eastAsia="仿宋" w:cs="仿宋"/>
                <w:i w:val="0"/>
                <w:caps w:val="0"/>
                <w:color w:val="323232"/>
                <w:spacing w:val="0"/>
                <w:sz w:val="19"/>
                <w:szCs w:val="19"/>
                <w:bdr w:val="none" w:color="auto" w:sz="0" w:space="0"/>
              </w:rPr>
              <w:t>3</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textAlignment w:val="center"/>
            </w:pPr>
            <w:r>
              <w:rPr>
                <w:rFonts w:hint="eastAsia" w:ascii="仿宋" w:hAnsi="仿宋" w:eastAsia="仿宋" w:cs="仿宋"/>
                <w:i w:val="0"/>
                <w:caps w:val="0"/>
                <w:color w:val="323232"/>
                <w:spacing w:val="0"/>
                <w:sz w:val="19"/>
                <w:szCs w:val="19"/>
                <w:bdr w:val="none" w:color="auto" w:sz="0" w:space="0"/>
              </w:rPr>
              <w:t>全日制硕士研究生学历学位，计算机科学与技术类（0812）专业，</w:t>
            </w:r>
            <w:r>
              <w:rPr>
                <w:rFonts w:hint="eastAsia" w:ascii="仿宋" w:hAnsi="仿宋" w:eastAsia="仿宋" w:cs="仿宋"/>
                <w:i w:val="0"/>
                <w:caps w:val="0"/>
                <w:color w:val="000000"/>
                <w:spacing w:val="0"/>
                <w:sz w:val="19"/>
                <w:szCs w:val="19"/>
                <w:bdr w:val="none" w:color="auto" w:sz="0" w:space="0"/>
              </w:rPr>
              <w:t>全日制本科</w:t>
            </w:r>
            <w:r>
              <w:rPr>
                <w:rFonts w:hint="eastAsia" w:ascii="仿宋" w:hAnsi="仿宋" w:eastAsia="仿宋" w:cs="仿宋"/>
                <w:i w:val="0"/>
                <w:caps w:val="0"/>
                <w:color w:val="323232"/>
                <w:spacing w:val="0"/>
                <w:sz w:val="19"/>
                <w:szCs w:val="19"/>
                <w:bdr w:val="none" w:color="auto" w:sz="0" w:space="0"/>
              </w:rPr>
              <w:t>专业相同或相近。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blCellSpacing w:w="0" w:type="dxa"/>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建筑工程学院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textAlignment w:val="center"/>
            </w:pPr>
            <w:r>
              <w:rPr>
                <w:rFonts w:hint="eastAsia" w:ascii="仿宋" w:hAnsi="仿宋" w:eastAsia="仿宋" w:cs="仿宋"/>
                <w:i w:val="0"/>
                <w:caps w:val="0"/>
                <w:color w:val="323232"/>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textAlignment w:val="center"/>
            </w:pPr>
            <w:r>
              <w:rPr>
                <w:rFonts w:hint="eastAsia" w:ascii="仿宋" w:hAnsi="仿宋" w:eastAsia="仿宋" w:cs="仿宋"/>
                <w:i w:val="0"/>
                <w:caps w:val="0"/>
                <w:color w:val="323232"/>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textAlignment w:val="center"/>
            </w:pPr>
            <w:r>
              <w:rPr>
                <w:rFonts w:hint="eastAsia" w:ascii="仿宋" w:hAnsi="仿宋" w:eastAsia="仿宋" w:cs="仿宋"/>
                <w:i w:val="0"/>
                <w:caps w:val="0"/>
                <w:color w:val="000000"/>
                <w:spacing w:val="0"/>
                <w:sz w:val="19"/>
                <w:szCs w:val="19"/>
                <w:bdr w:val="none" w:color="auto" w:sz="0" w:space="0"/>
              </w:rPr>
              <w:t>全日制硕士研究生</w:t>
            </w:r>
            <w:r>
              <w:rPr>
                <w:rFonts w:hint="eastAsia" w:ascii="仿宋" w:hAnsi="仿宋" w:eastAsia="仿宋" w:cs="仿宋"/>
                <w:i w:val="0"/>
                <w:caps w:val="0"/>
                <w:color w:val="323232"/>
                <w:spacing w:val="0"/>
                <w:sz w:val="19"/>
                <w:szCs w:val="19"/>
                <w:bdr w:val="none" w:color="auto" w:sz="0" w:space="0"/>
              </w:rPr>
              <w:t>学历学位</w:t>
            </w:r>
            <w:r>
              <w:rPr>
                <w:rFonts w:hint="eastAsia" w:ascii="仿宋" w:hAnsi="仿宋" w:eastAsia="仿宋" w:cs="仿宋"/>
                <w:i w:val="0"/>
                <w:caps w:val="0"/>
                <w:color w:val="000000"/>
                <w:spacing w:val="0"/>
                <w:sz w:val="19"/>
                <w:szCs w:val="19"/>
                <w:bdr w:val="none" w:color="auto" w:sz="0" w:space="0"/>
              </w:rPr>
              <w:t>，土木工程（0814）、管理科学与工程（1201）或建筑与土木工程（085213）专业，全日制本科为建筑环境与能源应用工程(081002)、给排水科学与工程（081003）、建筑电气与智能化(081004)、勘查技术与工程（081402）、工程管理（120103）或工程造价（120105）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840" w:type="dxa"/>
            <w:vMerge w:val="restart"/>
            <w:tcBorders>
              <w:top w:val="nil"/>
              <w:left w:val="single" w:color="auto" w:sz="4" w:space="0"/>
              <w:bottom w:val="single" w:color="000000"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测绘地理信息学院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323232"/>
                <w:spacing w:val="0"/>
                <w:sz w:val="19"/>
                <w:szCs w:val="19"/>
                <w:bdr w:val="none" w:color="auto" w:sz="0" w:space="0"/>
              </w:rPr>
              <w:t>全日制硕士研究生学历学位，</w:t>
            </w:r>
            <w:r>
              <w:rPr>
                <w:rFonts w:hint="eastAsia" w:ascii="仿宋" w:hAnsi="仿宋" w:eastAsia="仿宋" w:cs="仿宋"/>
                <w:i w:val="0"/>
                <w:caps w:val="0"/>
                <w:color w:val="000000"/>
                <w:spacing w:val="0"/>
                <w:sz w:val="19"/>
                <w:szCs w:val="19"/>
                <w:bdr w:val="none" w:color="auto" w:sz="0" w:space="0"/>
              </w:rPr>
              <w:t>大地测量学与测量工程（081601）、摄影测量与遥感（081602）、测绘工程（085215）专业；全日制本科为测绘工程专业（081201）。具有3年及以上本专业或相近专业工作经历。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blCellSpacing w:w="0" w:type="dxa"/>
        </w:trPr>
        <w:tc>
          <w:tcPr>
            <w:tcW w:w="840" w:type="dxa"/>
            <w:vMerge w:val="continue"/>
            <w:tcBorders>
              <w:top w:val="nil"/>
              <w:left w:val="single" w:color="auto" w:sz="4" w:space="0"/>
              <w:bottom w:val="single" w:color="000000"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323232"/>
                <w:spacing w:val="0"/>
                <w:sz w:val="19"/>
                <w:szCs w:val="19"/>
                <w:bdr w:val="none" w:color="auto" w:sz="0" w:space="0"/>
              </w:rPr>
              <w:t>全日制硕士研究生学历学位，摄影测量与遥感（081602）专业；全日制本科为遥感科</w:t>
            </w:r>
            <w:r>
              <w:rPr>
                <w:rFonts w:hint="eastAsia" w:ascii="仿宋" w:hAnsi="仿宋" w:eastAsia="仿宋" w:cs="仿宋"/>
                <w:i w:val="0"/>
                <w:caps w:val="0"/>
                <w:color w:val="000000"/>
                <w:spacing w:val="0"/>
                <w:sz w:val="19"/>
                <w:szCs w:val="19"/>
                <w:bdr w:val="none" w:color="auto" w:sz="0" w:space="0"/>
              </w:rPr>
              <w:t>学与技术（081202）专业。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840" w:type="dxa"/>
            <w:vMerge w:val="continue"/>
            <w:tcBorders>
              <w:top w:val="nil"/>
              <w:left w:val="single" w:color="auto" w:sz="4" w:space="0"/>
              <w:bottom w:val="single" w:color="000000"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323232"/>
                <w:spacing w:val="0"/>
                <w:sz w:val="19"/>
                <w:szCs w:val="19"/>
                <w:bdr w:val="none" w:color="auto" w:sz="0" w:space="0"/>
              </w:rPr>
              <w:t>全日制硕士研究生</w:t>
            </w:r>
            <w:r>
              <w:rPr>
                <w:rFonts w:hint="eastAsia" w:ascii="仿宋" w:hAnsi="仿宋" w:eastAsia="仿宋" w:cs="仿宋"/>
                <w:i w:val="0"/>
                <w:caps w:val="0"/>
                <w:color w:val="000000"/>
                <w:spacing w:val="0"/>
                <w:sz w:val="19"/>
                <w:szCs w:val="19"/>
                <w:bdr w:val="none" w:color="auto" w:sz="0" w:space="0"/>
              </w:rPr>
              <w:t>学历学位，土地资源管理（120405）、地图学与地理信息系统（070503）、地理信息科学、地图制图学与地理信息工程（081603）专业；全日制本科为土地资源管理（120404）专业。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blCellSpacing w:w="0" w:type="dxa"/>
        </w:trPr>
        <w:tc>
          <w:tcPr>
            <w:tcW w:w="840" w:type="dxa"/>
            <w:vMerge w:val="continue"/>
            <w:tcBorders>
              <w:top w:val="nil"/>
              <w:left w:val="single" w:color="auto" w:sz="4" w:space="0"/>
              <w:bottom w:val="single" w:color="000000"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教师4岗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323232"/>
                <w:spacing w:val="0"/>
                <w:sz w:val="19"/>
                <w:szCs w:val="19"/>
                <w:bdr w:val="none" w:color="auto" w:sz="0" w:space="0"/>
              </w:rPr>
              <w:t>全日制硕士研究生学历学位，</w:t>
            </w:r>
            <w:r>
              <w:rPr>
                <w:rFonts w:hint="eastAsia" w:ascii="仿宋" w:hAnsi="仿宋" w:eastAsia="仿宋" w:cs="仿宋"/>
                <w:i w:val="0"/>
                <w:caps w:val="0"/>
                <w:color w:val="000000"/>
                <w:spacing w:val="0"/>
                <w:sz w:val="19"/>
                <w:szCs w:val="19"/>
                <w:bdr w:val="none" w:color="auto" w:sz="0" w:space="0"/>
              </w:rPr>
              <w:t>城乡规划学（0833）类专业；全日制本科为城乡规划（082802）专业。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blCellSpacing w:w="0" w:type="dxa"/>
        </w:trPr>
        <w:tc>
          <w:tcPr>
            <w:tcW w:w="840" w:type="dxa"/>
            <w:vMerge w:val="restart"/>
            <w:tcBorders>
              <w:top w:val="nil"/>
              <w:left w:val="single" w:color="auto" w:sz="4" w:space="0"/>
              <w:bottom w:val="nil"/>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财经与商务学院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w:t>
            </w:r>
            <w:r>
              <w:rPr>
                <w:rFonts w:hint="eastAsia" w:ascii="仿宋" w:hAnsi="仿宋" w:eastAsia="仿宋" w:cs="仿宋"/>
                <w:i w:val="0"/>
                <w:caps w:val="0"/>
                <w:color w:val="323232"/>
                <w:spacing w:val="0"/>
                <w:sz w:val="19"/>
                <w:szCs w:val="19"/>
                <w:bdr w:val="none" w:color="auto" w:sz="0" w:space="0"/>
              </w:rPr>
              <w:t>学历学位</w:t>
            </w:r>
            <w:r>
              <w:rPr>
                <w:rFonts w:hint="eastAsia" w:ascii="仿宋" w:hAnsi="仿宋" w:eastAsia="仿宋" w:cs="仿宋"/>
                <w:i w:val="0"/>
                <w:caps w:val="0"/>
                <w:color w:val="000000"/>
                <w:spacing w:val="0"/>
                <w:sz w:val="19"/>
                <w:szCs w:val="19"/>
                <w:bdr w:val="none" w:color="auto" w:sz="0" w:space="0"/>
              </w:rPr>
              <w:t>，旅游管理专业（120203）或旅游地理（0705J2）专业；全日制本科为旅游管理专业（120901K）。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blCellSpacing w:w="0" w:type="dxa"/>
        </w:trPr>
        <w:tc>
          <w:tcPr>
            <w:tcW w:w="840"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3</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w:t>
            </w:r>
            <w:r>
              <w:rPr>
                <w:rFonts w:hint="eastAsia" w:ascii="仿宋" w:hAnsi="仿宋" w:eastAsia="仿宋" w:cs="仿宋"/>
                <w:i w:val="0"/>
                <w:caps w:val="0"/>
                <w:color w:val="323232"/>
                <w:spacing w:val="0"/>
                <w:sz w:val="19"/>
                <w:szCs w:val="19"/>
                <w:bdr w:val="none" w:color="auto" w:sz="0" w:space="0"/>
              </w:rPr>
              <w:t>学历学位</w:t>
            </w:r>
            <w:r>
              <w:rPr>
                <w:rFonts w:hint="eastAsia" w:ascii="仿宋" w:hAnsi="仿宋" w:eastAsia="仿宋" w:cs="仿宋"/>
                <w:i w:val="0"/>
                <w:caps w:val="0"/>
                <w:color w:val="000000"/>
                <w:spacing w:val="0"/>
                <w:sz w:val="19"/>
                <w:szCs w:val="19"/>
                <w:bdr w:val="none" w:color="auto" w:sz="0" w:space="0"/>
              </w:rPr>
              <w:t>，管理科学与工程（1201）（电子商务方向）、企业管理（120202）（电子商务方向）或工商管理专业（1202）（电子商务方向），全日制本科为电子商务专业(120801)。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blCellSpacing w:w="0" w:type="dxa"/>
        </w:trPr>
        <w:tc>
          <w:tcPr>
            <w:tcW w:w="840"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w:t>
            </w:r>
            <w:r>
              <w:rPr>
                <w:rFonts w:hint="eastAsia" w:ascii="仿宋" w:hAnsi="仿宋" w:eastAsia="仿宋" w:cs="仿宋"/>
                <w:i w:val="0"/>
                <w:caps w:val="0"/>
                <w:color w:val="323232"/>
                <w:spacing w:val="0"/>
                <w:sz w:val="19"/>
                <w:szCs w:val="19"/>
                <w:bdr w:val="none" w:color="auto" w:sz="0" w:space="0"/>
              </w:rPr>
              <w:t>学历学位</w:t>
            </w:r>
            <w:r>
              <w:rPr>
                <w:rFonts w:hint="eastAsia" w:ascii="仿宋" w:hAnsi="仿宋" w:eastAsia="仿宋" w:cs="仿宋"/>
                <w:i w:val="0"/>
                <w:caps w:val="0"/>
                <w:color w:val="000000"/>
                <w:spacing w:val="0"/>
                <w:sz w:val="19"/>
                <w:szCs w:val="19"/>
                <w:bdr w:val="none" w:color="auto" w:sz="0" w:space="0"/>
              </w:rPr>
              <w:t>，管理科学与工程（1201）（跨境电商方向）、或企业管理专业（120202）（跨境电商方向）、商务英语（跨境电商方向）；全日制本科专业为电子商务(120801) 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blCellSpacing w:w="0" w:type="dxa"/>
        </w:trPr>
        <w:tc>
          <w:tcPr>
            <w:tcW w:w="840"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教师4岗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全日制硕士研究生学历学位，工商管理类 (1202) 专业；全日制本科为市场营销 (120202)、 工程管理(120103)。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 w:hRule="atLeast"/>
          <w:tblCellSpacing w:w="0" w:type="dxa"/>
        </w:trPr>
        <w:tc>
          <w:tcPr>
            <w:tcW w:w="840"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教师5岗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全日制硕士研究生学历学位，金融学专业(020204)；全日制本科为金融学专业(020301K)。具有3年及以上本专业或相近专业工作经历。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840"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材料工程学院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全日制硕士研究生学历学位，有色金属冶金专业（080603）、材料科学与工程专业（0805）（稀土永磁材料方向）；全日制本科专业相同或相近。具有3年及以上本专业或相近专业工作经历。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blCellSpacing w:w="0" w:type="dxa"/>
        </w:trPr>
        <w:tc>
          <w:tcPr>
            <w:tcW w:w="840"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全日制硕士研究生学历学位，分析化学（070302）专业；全日制本科专业相同或相近。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5" w:hRule="atLeast"/>
          <w:tblCellSpacing w:w="0" w:type="dxa"/>
        </w:trPr>
        <w:tc>
          <w:tcPr>
            <w:tcW w:w="840"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全日制硕士研究生学历学位，药学（1007）专业；全日制本科专业为化工与制药类（0813）、化学工程与工艺（081301）或制药工程（081302）专业。具有3年及以上本专业或相近专业工作经历。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blCellSpacing w:w="0" w:type="dxa"/>
        </w:trPr>
        <w:tc>
          <w:tcPr>
            <w:tcW w:w="840" w:type="dxa"/>
            <w:vMerge w:val="restart"/>
            <w:tcBorders>
              <w:top w:val="nil"/>
              <w:left w:val="single" w:color="auto" w:sz="4" w:space="0"/>
              <w:bottom w:val="nil"/>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设计工程学院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计算机科学与技术（0812）、软件工程（0835）、计算机应用技术（081203）研究生或计算机技术（085211）、软件工程（085212）专业；全日制本科专业为计算机科学与技术（080901）、数字媒体技术（080906）或软件工程（080902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blCellSpacing w:w="0" w:type="dxa"/>
        </w:trPr>
        <w:tc>
          <w:tcPr>
            <w:tcW w:w="840"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全日制硕士研究生学历学位，设计艺术学（130501）、设计学（1305）研究生或艺术设计（135108）、艺术（135100）专业；全日制本科为环境设计（130503）专业。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blCellSpacing w:w="0" w:type="dxa"/>
        </w:trPr>
        <w:tc>
          <w:tcPr>
            <w:tcW w:w="840"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设计学（1305）、艺术学（130101）、设计艺术学（130501）、美术学（130401）或艺术（135100）、艺术设计（135108）、美术（135107）专业；全日制本科为动画专业（130310）或数字媒体艺术专业（130508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840" w:type="dxa"/>
            <w:vMerge w:val="continue"/>
            <w:tcBorders>
              <w:top w:val="nil"/>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教师4岗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设计学（1305）、艺术学（130101）、设计艺术学（130501）、美术学（130401）或艺术（135100）、艺术设计（135108）、美术（135107）专业；全日制本科专业为工艺美术（130507）、数字媒体艺术（130508）、数字媒体技术（080906）或影视摄影与制作（130311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2" w:hRule="atLeast"/>
          <w:tblCellSpacing w:w="0" w:type="dxa"/>
        </w:trPr>
        <w:tc>
          <w:tcPr>
            <w:tcW w:w="840" w:type="dxa"/>
            <w:vMerge w:val="restart"/>
            <w:tcBorders>
              <w:top w:val="single" w:color="auto" w:sz="4" w:space="0"/>
              <w:left w:val="single" w:color="auto" w:sz="4" w:space="0"/>
              <w:bottom w:val="nil"/>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社会管理学院</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全日制硕士研究生学历学位，企业管理（市场营销方向，120202）或传播学（050302）专业；全日制本科为市场营销专业（120202）。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blCellSpacing w:w="0" w:type="dxa"/>
        </w:trPr>
        <w:tc>
          <w:tcPr>
            <w:tcW w:w="840"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全日制硕士研究生学历学位，学科教学（语文）（045103）专业；全日制本科为汉语言文学专业（050101）。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blCellSpacing w:w="0" w:type="dxa"/>
        </w:trPr>
        <w:tc>
          <w:tcPr>
            <w:tcW w:w="840"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全日制硕士研究生学历学位，学前教育学专业（040105）；全日制本科专业为学前教育（040106）。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840"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教师4岗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全日制硕士研究生及以上学历学位，美术学（130401）专业；全日制本科专业为美术学（130401）、绘画（130402）。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 w:hRule="atLeast"/>
          <w:tblCellSpacing w:w="0" w:type="dxa"/>
        </w:trPr>
        <w:tc>
          <w:tcPr>
            <w:tcW w:w="840"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教师5岗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全日制硕士研究生学历学位，音乐舞蹈学专业（130200）；全日制本科专业为音乐表演（050403）。具有3年及以上本专业或相近专业工作经历。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blCellSpacing w:w="0" w:type="dxa"/>
        </w:trPr>
        <w:tc>
          <w:tcPr>
            <w:tcW w:w="840" w:type="dxa"/>
            <w:vMerge w:val="continue"/>
            <w:tcBorders>
              <w:top w:val="single" w:color="auto" w:sz="4" w:space="0"/>
              <w:left w:val="single" w:color="auto" w:sz="4" w:space="0"/>
              <w:bottom w:val="nil"/>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教师6岗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全日制硕士研究生学历学位，计算数学（070102）、概率论与数理统计（070103）、应用数学（070104）专业，全日制本科为数学类（0701）专业。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blCellSpacing w:w="0" w:type="dxa"/>
        </w:trPr>
        <w:tc>
          <w:tcPr>
            <w:tcW w:w="840"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思想政治理论课教学科研部</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全日制硕士研究生学历学位，思想政治教育（030503）、马克思主义哲学（010101）专业；全日制本科专业为思想政治教育（030503）、哲学（010101）；中共党员。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blCellSpacing w:w="0" w:type="dxa"/>
        </w:trPr>
        <w:tc>
          <w:tcPr>
            <w:tcW w:w="840"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全日制硕士研究生学历学位，马克思主义基本原理（030501）专业；全日制本科专业为经济学（020101）。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blCellSpacing w:w="0" w:type="dxa"/>
        </w:trPr>
        <w:tc>
          <w:tcPr>
            <w:tcW w:w="840"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全日制硕士研究生学历学位，法学理论（030101）、民商法学（030105）专业；全日制本科专业为法学（030101K）；中共党员。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5" w:hRule="atLeast"/>
          <w:tblCellSpacing w:w="0" w:type="dxa"/>
        </w:trPr>
        <w:tc>
          <w:tcPr>
            <w:tcW w:w="840"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军事体育教学部</w:t>
            </w: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教师1岗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体育教育训练学（040303）或体育教学（045201）专业；全日制本科专业为体育学类（0402）；具有国家体育总局或下设机构颁发的社会体育指导员（四级）及以上健身教练职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840"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教师2岗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全日制硕士研究生学历学位，体育教育训练学（040303）或体育教学（045201）专业；全日制本科专业为体育学类（0402）；具有国家级跆拳道比赛获奖、具有跆拳道黑带认证。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840"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教师3岗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全日制硕士研究生学历学位，体育教育训练学（040303）专业或学科教学（体育）（045112）；全日制本科专业为体育教育（040201）。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5" w:hRule="atLeast"/>
          <w:tblCellSpacing w:w="0" w:type="dxa"/>
        </w:trPr>
        <w:tc>
          <w:tcPr>
            <w:tcW w:w="840"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hAnsi="宋体" w:eastAsia="宋体" w:cs="宋体"/>
                <w:i w:val="0"/>
                <w:caps w:val="0"/>
                <w:color w:val="000000"/>
                <w:spacing w:val="0"/>
                <w:sz w:val="14"/>
                <w:szCs w:val="14"/>
              </w:rPr>
            </w:pPr>
          </w:p>
        </w:tc>
        <w:tc>
          <w:tcPr>
            <w:tcW w:w="102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教师4岗</w:t>
            </w:r>
          </w:p>
        </w:tc>
        <w:tc>
          <w:tcPr>
            <w:tcW w:w="79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42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Pr>
            <w:r>
              <w:rPr>
                <w:rFonts w:hint="eastAsia" w:ascii="仿宋" w:hAnsi="仿宋" w:eastAsia="仿宋" w:cs="仿宋"/>
                <w:i w:val="0"/>
                <w:caps w:val="0"/>
                <w:color w:val="000000"/>
                <w:spacing w:val="0"/>
                <w:sz w:val="19"/>
                <w:szCs w:val="19"/>
                <w:bdr w:val="none" w:color="auto" w:sz="0" w:space="0"/>
              </w:rPr>
              <w:t>全日制硕士研究生学历学位，体育教育训练学（040303）专业或学科教学（体育）（045112）；全日制本科专业为武术与民族传统体育（040204K）。</w:t>
            </w:r>
          </w:p>
        </w:tc>
      </w:tr>
    </w:tbl>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Style w:val="5"/>
          <w:rFonts w:hint="eastAsia" w:ascii="黑体" w:hAnsi="宋体" w:eastAsia="黑体" w:cs="黑体"/>
          <w:i w:val="0"/>
          <w:caps w:val="0"/>
          <w:color w:val="000000"/>
          <w:spacing w:val="0"/>
          <w:sz w:val="22"/>
          <w:szCs w:val="22"/>
          <w:shd w:val="clear" w:fill="FFFFFF"/>
        </w:rPr>
        <w:t>2.管理教辅机构 （</w:t>
      </w:r>
      <w:r>
        <w:rPr>
          <w:rStyle w:val="5"/>
          <w:rFonts w:hint="eastAsia" w:ascii="黑体" w:hAnsi="宋体" w:eastAsia="黑体" w:cs="黑体"/>
          <w:i w:val="0"/>
          <w:caps w:val="0"/>
          <w:color w:val="FF0000"/>
          <w:spacing w:val="0"/>
          <w:sz w:val="22"/>
          <w:szCs w:val="22"/>
          <w:shd w:val="clear" w:fill="FFFFFF"/>
        </w:rPr>
        <w:t>12</w:t>
      </w:r>
      <w:r>
        <w:rPr>
          <w:rStyle w:val="5"/>
          <w:rFonts w:hint="eastAsia" w:ascii="黑体" w:hAnsi="宋体" w:eastAsia="黑体" w:cs="黑体"/>
          <w:i w:val="0"/>
          <w:caps w:val="0"/>
          <w:color w:val="000000"/>
          <w:spacing w:val="0"/>
          <w:sz w:val="22"/>
          <w:szCs w:val="22"/>
          <w:shd w:val="clear" w:fill="FFFFFF"/>
        </w:rPr>
        <w:t>人）</w:t>
      </w:r>
    </w:p>
    <w:tbl>
      <w:tblPr>
        <w:tblW w:w="7908"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0"/>
        <w:gridCol w:w="836"/>
        <w:gridCol w:w="624"/>
        <w:gridCol w:w="5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trPr>
        <w:tc>
          <w:tcPr>
            <w:tcW w:w="1680" w:type="dxa"/>
            <w:gridSpan w:val="2"/>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shd w:val="clear" w:fill="FFFFFF"/>
              <w:jc w:val="center"/>
            </w:pPr>
            <w:r>
              <w:rPr>
                <w:rStyle w:val="5"/>
                <w:rFonts w:hint="eastAsia" w:ascii="仿宋" w:hAnsi="仿宋" w:eastAsia="仿宋" w:cs="仿宋"/>
                <w:i w:val="0"/>
                <w:caps w:val="0"/>
                <w:color w:val="000000"/>
                <w:spacing w:val="0"/>
                <w:sz w:val="22"/>
                <w:szCs w:val="22"/>
                <w:bdr w:val="none" w:color="auto" w:sz="0" w:space="0"/>
                <w:shd w:val="clear" w:fill="FFFFFF"/>
              </w:rPr>
              <w:t>招聘岗位</w:t>
            </w:r>
          </w:p>
        </w:tc>
        <w:tc>
          <w:tcPr>
            <w:tcW w:w="60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shd w:val="clear" w:fill="FFFFFF"/>
              <w:jc w:val="center"/>
            </w:pPr>
            <w:r>
              <w:rPr>
                <w:rStyle w:val="5"/>
                <w:rFonts w:hint="eastAsia" w:ascii="仿宋" w:hAnsi="仿宋" w:eastAsia="仿宋" w:cs="仿宋"/>
                <w:i w:val="0"/>
                <w:caps w:val="0"/>
                <w:color w:val="000000"/>
                <w:spacing w:val="0"/>
                <w:sz w:val="22"/>
                <w:szCs w:val="22"/>
                <w:bdr w:val="none" w:color="auto" w:sz="0" w:space="0"/>
                <w:shd w:val="clear" w:fill="FFFFFF"/>
              </w:rPr>
              <w:t>招聘</w:t>
            </w:r>
          </w:p>
          <w:p>
            <w:pPr>
              <w:pStyle w:val="2"/>
              <w:keepNext w:val="0"/>
              <w:keepLines w:val="0"/>
              <w:widowControl/>
              <w:suppressLineNumbers w:val="0"/>
              <w:shd w:val="clear" w:fill="FFFFFF"/>
              <w:jc w:val="center"/>
            </w:pPr>
            <w:r>
              <w:rPr>
                <w:rStyle w:val="5"/>
                <w:rFonts w:hint="eastAsia" w:ascii="仿宋" w:hAnsi="仿宋" w:eastAsia="仿宋" w:cs="仿宋"/>
                <w:i w:val="0"/>
                <w:caps w:val="0"/>
                <w:color w:val="000000"/>
                <w:spacing w:val="0"/>
                <w:sz w:val="22"/>
                <w:szCs w:val="22"/>
                <w:bdr w:val="none" w:color="auto" w:sz="0" w:space="0"/>
                <w:shd w:val="clear" w:fill="FFFFFF"/>
              </w:rPr>
              <w:t>人数</w:t>
            </w:r>
          </w:p>
        </w:tc>
        <w:tc>
          <w:tcPr>
            <w:tcW w:w="5328"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shd w:val="clear" w:fill="FFFFFF"/>
              <w:ind w:left="0" w:firstLine="444"/>
              <w:jc w:val="center"/>
            </w:pPr>
            <w:r>
              <w:rPr>
                <w:rStyle w:val="5"/>
                <w:rFonts w:hint="eastAsia" w:ascii="仿宋" w:hAnsi="仿宋" w:eastAsia="仿宋" w:cs="仿宋"/>
                <w:i w:val="0"/>
                <w:caps w:val="0"/>
                <w:color w:val="000000"/>
                <w:spacing w:val="0"/>
                <w:sz w:val="22"/>
                <w:szCs w:val="22"/>
                <w:bdr w:val="none" w:color="auto" w:sz="0" w:space="0"/>
                <w:shd w:val="clear" w:fill="FFFFFF"/>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8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党政办公室</w:t>
            </w:r>
          </w:p>
        </w:tc>
        <w:tc>
          <w:tcPr>
            <w:tcW w:w="79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干事</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32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全日制硕士研究生学历学位，中国语言文学类（0501）专业；全日制本科专业相同或相近。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blCellSpacing w:w="0" w:type="dxa"/>
        </w:trPr>
        <w:tc>
          <w:tcPr>
            <w:tcW w:w="8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组织部（人事处）</w:t>
            </w:r>
          </w:p>
        </w:tc>
        <w:tc>
          <w:tcPr>
            <w:tcW w:w="79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干事</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32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全日制硕士研究生学历学位，新闻传播学（0503）、中国语言文学（0501）、哲学（0101）或企业管理（人力资源管理）（120202）专业；全日制本科专业相同或相近；中共党员。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blCellSpacing w:w="0" w:type="dxa"/>
        </w:trPr>
        <w:tc>
          <w:tcPr>
            <w:tcW w:w="8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宣传部</w:t>
            </w:r>
          </w:p>
        </w:tc>
        <w:tc>
          <w:tcPr>
            <w:tcW w:w="79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干事</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32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全日制硕士研究生学历学位，新闻传播学（0503）、新闻与传播（055200）或中国语言文学（0501）；全日制本科专业相同或相近；中共党员。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blCellSpacing w:w="0" w:type="dxa"/>
        </w:trPr>
        <w:tc>
          <w:tcPr>
            <w:tcW w:w="8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教务处</w:t>
            </w:r>
          </w:p>
        </w:tc>
        <w:tc>
          <w:tcPr>
            <w:tcW w:w="79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创新创业教育指导干事</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32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全日制硕士研究生学历学位，企业管理（120202）、工商管理（1251）；全日制本科专业相同或相近。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blCellSpacing w:w="0" w:type="dxa"/>
        </w:trPr>
        <w:tc>
          <w:tcPr>
            <w:tcW w:w="8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审计处</w:t>
            </w:r>
          </w:p>
        </w:tc>
        <w:tc>
          <w:tcPr>
            <w:tcW w:w="79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干事</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32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全日制硕士研究生学历学位，管理科学与工程（1201、工程造价方向）、会计（1253）、审计（1202Z2、025700）、企业管理（120202、财务管理方向）；全日制本科专业相同或相近。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blCellSpacing w:w="0" w:type="dxa"/>
        </w:trPr>
        <w:tc>
          <w:tcPr>
            <w:tcW w:w="8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纪委监督检查室</w:t>
            </w:r>
          </w:p>
        </w:tc>
        <w:tc>
          <w:tcPr>
            <w:tcW w:w="79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干事</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32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行政管理（120401）、思想政治教育（030505）、语言学及应用语言学（050102）、教育经济与管理（120403）、经济法学（030107）或政治学理论（030201）专业；全日制本科专业相同或相近；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blCellSpacing w:w="0" w:type="dxa"/>
        </w:trPr>
        <w:tc>
          <w:tcPr>
            <w:tcW w:w="8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督导室</w:t>
            </w:r>
          </w:p>
        </w:tc>
        <w:tc>
          <w:tcPr>
            <w:tcW w:w="79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数据管理干事</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1</w:t>
            </w:r>
          </w:p>
        </w:tc>
        <w:tc>
          <w:tcPr>
            <w:tcW w:w="532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计算机科学与技术类专业（0812）、软件工程类（0835)、计算机技术（085211）或软件工程（085212）专业；全日制本科为计算机类（0809）、信息管理与信息系统（120102）、数学与应用数学（070101）、信息与计算科学（070102）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blCellSpacing w:w="0" w:type="dxa"/>
        </w:trPr>
        <w:tc>
          <w:tcPr>
            <w:tcW w:w="8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学工部</w:t>
            </w:r>
          </w:p>
        </w:tc>
        <w:tc>
          <w:tcPr>
            <w:tcW w:w="79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干事</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center"/>
            </w:pPr>
            <w:r>
              <w:rPr>
                <w:rFonts w:hint="eastAsia" w:ascii="仿宋" w:hAnsi="仿宋" w:eastAsia="仿宋" w:cs="仿宋"/>
                <w:i w:val="0"/>
                <w:caps w:val="0"/>
                <w:color w:val="000000"/>
                <w:spacing w:val="0"/>
                <w:sz w:val="19"/>
                <w:szCs w:val="19"/>
                <w:bdr w:val="none" w:color="auto" w:sz="0" w:space="0"/>
              </w:rPr>
              <w:t>2</w:t>
            </w:r>
          </w:p>
        </w:tc>
        <w:tc>
          <w:tcPr>
            <w:tcW w:w="532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jc w:val="left"/>
            </w:pPr>
            <w:r>
              <w:rPr>
                <w:rFonts w:hint="eastAsia" w:ascii="仿宋" w:hAnsi="仿宋" w:eastAsia="仿宋" w:cs="仿宋"/>
                <w:i w:val="0"/>
                <w:caps w:val="0"/>
                <w:color w:val="000000"/>
                <w:spacing w:val="0"/>
                <w:sz w:val="19"/>
                <w:szCs w:val="19"/>
                <w:bdr w:val="none" w:color="auto" w:sz="0" w:space="0"/>
              </w:rPr>
              <w:t>全日制硕士研究生学历学位，工学类（08）、管理学类（12）、新闻与传播专业（055200）；全日制本科；中共党员；需入住男生宿舍，限男性。</w:t>
            </w:r>
          </w:p>
        </w:tc>
      </w:tr>
    </w:tbl>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Style w:val="5"/>
          <w:rFonts w:hint="eastAsia" w:ascii="仿宋" w:hAnsi="仿宋" w:eastAsia="仿宋" w:cs="仿宋"/>
          <w:i w:val="0"/>
          <w:caps w:val="0"/>
          <w:color w:val="000000"/>
          <w:spacing w:val="0"/>
          <w:sz w:val="22"/>
          <w:szCs w:val="22"/>
          <w:shd w:val="clear" w:fill="FFFFFF"/>
        </w:rPr>
        <w:t>注：</w:t>
      </w:r>
    </w:p>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sz w:val="22"/>
          <w:szCs w:val="22"/>
          <w:shd w:val="clear" w:fill="FFFFFF"/>
        </w:rPr>
        <w:t>1.国（境）外学历学位须经教育部留学服务中心认证；</w:t>
      </w:r>
    </w:p>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sz w:val="22"/>
          <w:szCs w:val="22"/>
          <w:shd w:val="clear" w:fill="FFFFFF"/>
        </w:rPr>
        <w:t>2.岗位条件中学科、专业后面括号内数字为学科、专业代码。报名人员请注意区分学硕和专硕代码，不得报所学专业代码与招考岗位专业代码不一致的岗位。所学专业未列入专业目录（没有专业代码）的，可选择招</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sz w:val="22"/>
          <w:szCs w:val="22"/>
          <w:shd w:val="clear" w:fill="FFFFFF"/>
        </w:rPr>
        <w:t>聘专业中相近专业报考，所学专业必修课程须与报考岗位要求的专业主要课程基本一致，并在资格审查时提供毕业证书、所学专业课程成绩单（须教务处盖章）、院校出具的课程对比情况说明或毕业院校专业设置的情况说明等材料。除专业目录有列出培养方向的专业外，其他毕业证上的专业名称后面以括号等形式列出的培养方向不能作为报名专业的依据。</w:t>
      </w:r>
    </w:p>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sz w:val="22"/>
          <w:szCs w:val="22"/>
          <w:shd w:val="clear" w:fill="FFFFFF"/>
        </w:rPr>
        <w:t>3.热爱教育事业，遵纪守法，品行端正，无不良行为记录。</w:t>
      </w:r>
    </w:p>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sz w:val="22"/>
          <w:szCs w:val="22"/>
          <w:shd w:val="clear" w:fill="FFFFFF"/>
        </w:rPr>
        <w:t>4.请考生仔细对照所报岗位条件，诚信报考，不符合岗位条件者，请勿报名和参加考试，已参加考试的，成绩一律无效。</w:t>
      </w:r>
    </w:p>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sz w:val="22"/>
          <w:szCs w:val="22"/>
          <w:shd w:val="clear" w:fill="FFFFFF"/>
        </w:rPr>
        <w:t>5.须具有硕士研究生学历及学位，且初始学历必须为全日制普通高等学校本科学历和学士学位，资格审查时应提供相应的学历和学位证书（在校毕业生提供毕业生就业推荐表或其他有效学历证明，硕士研究生应在2021年7月31日前毕业）。</w:t>
      </w:r>
    </w:p>
    <w:p>
      <w:pPr>
        <w:pStyle w:val="2"/>
        <w:keepNext w:val="0"/>
        <w:keepLines w:val="0"/>
        <w:widowControl/>
        <w:suppressLineNumbers w:val="0"/>
        <w:shd w:val="clear" w:fill="FFFFFF"/>
        <w:ind w:left="0" w:firstLine="444"/>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sz w:val="22"/>
          <w:szCs w:val="22"/>
          <w:shd w:val="clear" w:fill="FFFFFF"/>
        </w:rPr>
        <w:t>6.应聘者年龄不超过35周岁（1986年1月1日以后出生），具有高级职称的应聘者年龄原则上不超过40周岁（1981年1月1日以后出生）。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E0A26"/>
    <w:rsid w:val="1532627D"/>
    <w:rsid w:val="78BE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2021-02-07T02:11:00Z</dcterms:created>
  <dc:creator>ぺ灬cc果冻ル</dc:creator>
  <cp:lastModifiedBy>ぺ灬cc果冻ル</cp:lastModifiedBy>
  <dcterms:modified xsi:type="dcterms:W3CDTF">2021-02-07T02:13:42Z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