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640"/>
        <w:jc w:val="left"/>
        <w:rPr>
          <w:rFonts w:ascii="Arial" w:hAnsi="Arial" w:cs="Arial"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ascii="Arial" w:hAnsi="Arial" w:eastAsia="宋体" w:cs="Arial"/>
          <w:b/>
          <w:i w:val="0"/>
          <w:caps w:val="0"/>
          <w:color w:val="004499"/>
          <w:spacing w:val="25"/>
          <w:sz w:val="32"/>
          <w:szCs w:val="32"/>
          <w:shd w:val="clear" w:fill="FFFFFF"/>
        </w:rPr>
        <w:t>江西省赣剧院</w:t>
      </w:r>
      <w:r>
        <w:rPr>
          <w:rFonts w:ascii="Tahoma" w:hAnsi="Tahoma" w:eastAsia="Tahoma" w:cs="Tahoma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招聘岗位、人数及条件</w:t>
      </w:r>
    </w:p>
    <w:bookmarkEnd w:id="0"/>
    <w:tbl>
      <w:tblPr>
        <w:tblW w:w="6948" w:type="dxa"/>
        <w:jc w:val="center"/>
        <w:tblInd w:w="679" w:type="dxa"/>
        <w:tblBorders>
          <w:top w:val="single" w:color="EFF8FD" w:sz="4" w:space="0"/>
          <w:left w:val="single" w:color="EFF8FD" w:sz="4" w:space="0"/>
          <w:bottom w:val="single" w:color="EFF8FD" w:sz="4" w:space="0"/>
          <w:right w:val="single" w:color="EFF8FD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858"/>
        <w:gridCol w:w="4677"/>
      </w:tblGrid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岗位人数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财务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会计学专业（120201）、会计专业（1253）；全日制统招硕士研究生学历、学位；具有会计从业资格证书；年龄30周岁以下（1989年8月1日以后出生）。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舞台美术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美术学专业（130401）、美术专业（135107）；全日制统招硕士研究生学历、学位；年龄30周岁以下（1989年8月1日以后出生）。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28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　备注：以上岗位条件中专业名称后括号中的数字为学科专业代码。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F4134"/>
    <w:rsid w:val="077F41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2019-08-07T09:15:00Z</dcterms:created>
  <dc:creator>ASUS</dc:creator>
  <cp:lastModifiedBy>ASUS</cp:lastModifiedBy>
  <dcterms:modified xsi:type="dcterms:W3CDTF">2019-08-07T09:15:58Z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