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CC0000"/>
          <w:spacing w:val="0"/>
          <w:sz w:val="48"/>
          <w:szCs w:val="48"/>
          <w:shd w:val="clear" w:fill="FFFFFF"/>
        </w:rPr>
        <w:t>兴国县县级公立医院</w:t>
      </w: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选聘岗位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3022"/>
        <w:gridCol w:w="720"/>
        <w:gridCol w:w="1080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选聘单位</w:t>
            </w:r>
          </w:p>
        </w:tc>
        <w:tc>
          <w:tcPr>
            <w:tcW w:w="3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选聘人数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6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兴国县县级公立医院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管委会</w:t>
            </w:r>
          </w:p>
        </w:tc>
        <w:tc>
          <w:tcPr>
            <w:tcW w:w="3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县人民医院总会计师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详见本公告的</w:t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第三、岗位条件</w:t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6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县中医院总会计师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县妇幼保健院总会计师（兼任县医管会总会计师）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83431"/>
    <w:rsid w:val="58983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2020-05-15T03:40:00Z</dcterms:created>
  <dc:creator>ASUS</dc:creator>
  <cp:lastModifiedBy>ASUS</cp:lastModifiedBy>
  <dcterms:modified xsi:type="dcterms:W3CDTF">2020-05-15T03:40:40Z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