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648"/>
        <w:jc w:val="left"/>
        <w:rPr>
          <w:rFonts w:asci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招聘岗位及要求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56"/>
        <w:gridCol w:w="629"/>
        <w:gridCol w:w="624"/>
        <w:gridCol w:w="1461"/>
        <w:gridCol w:w="1301"/>
        <w:gridCol w:w="1483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资格要求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药剂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药学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大专学历及以上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取得药士及以上资格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除2020年应届毕业生外，均需取得药士及以上资格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</w:rPr>
              <w:t>20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女性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605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中专学历及以上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护士及以上资格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除2020年应届毕业生外，均需取得护士及以上格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放射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临床医学、医学影像、医学影像技术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大专学历及以上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取得放射技士及以上资格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除2019年及2020年毕业生外，均需取得放射技士及以上资格；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检验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医学检验技术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大专学历及以上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605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取得检验士及以上资格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除2020年应届毕业生外，均需取得医学检验技士及以上资格；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彩超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临床医学、医学影像、医学影像技术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color w:val="000000"/>
                <w:sz w:val="30"/>
                <w:szCs w:val="30"/>
                <w:bdr w:val="none" w:color="auto" w:sz="0" w:space="0"/>
                <w:lang w:eastAsia="zh-CN"/>
              </w:rPr>
              <w:t>大专学历及以上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取得放射技士及以上资格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楷体_GB2312" w:eastAsia="楷体_GB2312" w:cs="楷体_GB2312"/>
                <w:sz w:val="30"/>
                <w:szCs w:val="30"/>
              </w:rPr>
            </w:pPr>
            <w:r>
              <w:rPr>
                <w:rFonts w:hint="default" w:ascii="楷体_GB2312" w:eastAsia="楷体_GB2312" w:cs="楷体_GB2312"/>
                <w:b w:val="0"/>
                <w:i w:val="0"/>
                <w:sz w:val="30"/>
                <w:szCs w:val="30"/>
                <w:bdr w:val="none" w:color="auto" w:sz="0" w:space="0"/>
                <w:lang w:eastAsia="zh-CN"/>
              </w:rPr>
              <w:t>除2019年及2020年毕业生外，均需取得放射技士及以上资格；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0B22"/>
    <w:rsid w:val="206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2020-06-24T02:18:00Z</dcterms:created>
  <dc:creator>那时花开咖啡馆。</dc:creator>
  <cp:lastModifiedBy>那时花开咖啡馆。</cp:lastModifiedBy>
  <dcterms:modified xsi:type="dcterms:W3CDTF">2020-06-24T02:50:05Z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