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center"/>
        <w:rPr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kern w:val="0"/>
          <w:sz w:val="21"/>
          <w:szCs w:val="21"/>
          <w:u w:val="none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kern w:val="0"/>
          <w:sz w:val="21"/>
          <w:szCs w:val="21"/>
          <w:u w:val="none"/>
          <w:lang w:val="en-US" w:eastAsia="zh-CN" w:bidi="ar"/>
        </w:rPr>
        <w:t>年东乡区医直医疗机构公开选调医技人员岗位及岗位报考条件</w:t>
      </w:r>
    </w:p>
    <w:bookmarkEnd w:id="0"/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kern w:val="0"/>
          <w:sz w:val="44"/>
          <w:szCs w:val="44"/>
          <w:u w:val="none"/>
          <w:lang w:val="en-US" w:eastAsia="zh-CN" w:bidi="ar"/>
        </w:rPr>
        <w:t> </w:t>
      </w:r>
    </w:p>
    <w:tbl>
      <w:tblPr>
        <w:tblW w:w="8408" w:type="dxa"/>
        <w:jc w:val="center"/>
        <w:tblInd w:w="5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588"/>
        <w:gridCol w:w="719"/>
        <w:gridCol w:w="660"/>
        <w:gridCol w:w="601"/>
        <w:gridCol w:w="777"/>
        <w:gridCol w:w="660"/>
        <w:gridCol w:w="1057"/>
        <w:gridCol w:w="777"/>
        <w:gridCol w:w="660"/>
        <w:gridCol w:w="1396"/>
        <w:gridCol w:w="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招聘岗位数</w:t>
            </w:r>
          </w:p>
        </w:tc>
        <w:tc>
          <w:tcPr>
            <w:tcW w:w="32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试科目</w:t>
            </w:r>
          </w:p>
        </w:tc>
        <w:tc>
          <w:tcPr>
            <w:tcW w:w="13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专业类别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  <w:lang w:val="en-US" w:eastAsia="zh-CN" w:bidi="ar"/>
              </w:rPr>
              <w:t>主治医师或以上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具有临床类《医师资格证书》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  <w:lang w:val="en-US" w:eastAsia="zh-CN" w:bidi="ar"/>
              </w:rPr>
              <w:t>主管护师或以上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主管检验师或以上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主管药师、主管中药师或以上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  <w:lang w:val="en-US" w:eastAsia="zh-CN" w:bidi="ar"/>
              </w:rPr>
              <w:t>主治医师或以上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具有临床类《医师资格证书》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主治中医师或以上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具有中医类《医师资格证书》（含中西医结合）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  <w:lang w:val="en-US" w:eastAsia="zh-CN" w:bidi="ar"/>
              </w:rPr>
              <w:t>主管护师或以上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中专及以上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主管药师、主管中药师或以上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48岁周岁及以下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56CE"/>
    <w:rsid w:val="3BED56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2018-05-10T07:00:00Z</dcterms:created>
  <dc:creator>ASUS</dc:creator>
  <cp:lastModifiedBy>ASUS</cp:lastModifiedBy>
  <dcterms:modified xsi:type="dcterms:W3CDTF">2018-05-10T07:01:05Z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