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 4、岗位要求表：</w:t>
      </w:r>
    </w:p>
    <w:tbl>
      <w:tblPr>
        <w:tblStyle w:val="3"/>
        <w:tblW w:w="828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1281"/>
        <w:gridCol w:w="462"/>
        <w:gridCol w:w="543"/>
        <w:gridCol w:w="1398"/>
        <w:gridCol w:w="951"/>
        <w:gridCol w:w="951"/>
        <w:gridCol w:w="2147"/>
      </w:tblGrid>
      <w:tr>
        <w:tblPrEx>
          <w:tblLayout w:type="fixed"/>
        </w:tblPrEx>
        <w:trPr>
          <w:trHeight w:val="778" w:hRule="atLeast"/>
          <w:jc w:val="center"/>
        </w:trPr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法务部负责人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50周岁及以下（1969年1月1日及以后出生）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法学类相关专业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1、通过国家司法考试并获得相关资格证书；2、熟悉经济法；3、具有2年以上法务工作从业经验。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审计部负责人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50周岁及以下（1969年1月1日及以后出生）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审计类或财会类相关专业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、能熟练运用国家的财经审计法规、审计、办案程序，具备一定办公软件操作能力，统计分析和较好的写作能力。2、财会类专业需取得会计师资格证，审计类专业需取得审计师资格证；3、具有2年以上审计工作从业经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委派财务总监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50周岁及以下（1969年1月1日及以后出生）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财会类相关专业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1、取得会计师及以上职称或注册会计师资格；2、熟悉现代企业经营管理，具有较强的财务管理能力和资本运作能力。3、具有2年以上财会工作从业经验。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7E"/>
    <w:rsid w:val="0056367E"/>
    <w:rsid w:val="00AC020F"/>
    <w:rsid w:val="7383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TotalTime>1</TotalTime>
  <ScaleCrop>false</ScaleCrop>
  <LinksUpToDate>false</LinksUpToDate>
  <CharactersWithSpaces>417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2019-04-18T02:55:00Z</dcterms:created>
  <dc:creator>Administrator</dc:creator>
  <cp:lastModifiedBy>很复古的三十二 .</cp:lastModifiedBy>
  <dcterms:modified xsi:type="dcterms:W3CDTF">2019-04-23T05:49:32Z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