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pStyle w:val="3"/>
        <w:rPr>
          <w:rFonts w:ascii="仿宋_GB2312" w:hAnsi="仿宋" w:eastAsia="仿宋_GB2312" w:cs="仿宋"/>
          <w:sz w:val="32"/>
          <w:szCs w:val="32"/>
        </w:rPr>
      </w:pPr>
    </w:p>
    <w:p>
      <w:pPr>
        <w:pStyle w:val="3"/>
        <w:rPr>
          <w:rFonts w:ascii="仿宋_GB2312" w:hAnsi="仿宋" w:eastAsia="仿宋_GB2312" w:cs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ind w:firstLine="63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附件1： 江西赣江新区永修投资集团有限公司招聘岗位及资格条件</w:t>
      </w:r>
    </w:p>
    <w:tbl>
      <w:tblPr>
        <w:tblStyle w:val="11"/>
        <w:tblW w:w="14609" w:type="dxa"/>
        <w:tblInd w:w="-7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5302"/>
        <w:gridCol w:w="4905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9" w:hRule="atLeast"/>
        </w:trPr>
        <w:tc>
          <w:tcPr>
            <w:tcW w:w="1492" w:type="dxa"/>
            <w:vAlign w:val="center"/>
          </w:tcPr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城投公司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副总经理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302" w:type="dxa"/>
          </w:tcPr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1．协助总经理结合集团整体战略布局，组织制定和调整城投公司的发展规划；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2．在总经理授权范围内，全面负责主管的各项工作，并承担相应责任；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3．能围绕县委、县政府的中心工作，负责所分管项目建设专项资金的融通、调节、平衡计划等管理工作。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4．能围绕公司的经营发展规划和工作计划，负责编制公司投融资计划和费用预算，有效地筹划和运用公司资金。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5．能够运用各种投融资模式，筹集项目建设资金。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6．在主管工作范围内，就相应人员的任免、机构变更等事项向总经理提出建议；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7．按照公司业务审批权限的规定，批准或审核所主管部门的业务开展，并承担相应责任；</w:t>
            </w:r>
          </w:p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  <w:highlight w:val="yellow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8．就公司相关重大事项，向总经理提出建议。</w:t>
            </w:r>
          </w:p>
        </w:tc>
        <w:tc>
          <w:tcPr>
            <w:tcW w:w="4905" w:type="dxa"/>
          </w:tcPr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年龄要求：45周岁及以下</w:t>
            </w:r>
          </w:p>
          <w:p>
            <w:pPr>
              <w:rPr>
                <w:rFonts w:ascii="Arial" w:hAnsi="Arial" w:cs="Arial"/>
                <w:color w:val="C00000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教育背景: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本科及以上学历，企业管理、工程建筑、金融等相关专业优先。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工作经验: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3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年及以上城投、市政、工程类公司等相关机构高管工作经验，具备企业全面管理工作经验。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技能技巧: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◆熟悉县市级城投企业业务和流程者优先，在团队管理方面有极强的领导技巧和才能；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◆熟悉企业全面运作，具有先进的管理理念以及很强的战略制定与实施能力,有广泛的城投类客户资源和社会资源；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◆具有较高的政治素养和政策理论水平，熟悉党和国家和方针政策与法律法规；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◆熟练使用办公软件。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态度: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◆敏锐的市场洞察力、优秀的项目组织能力及营销策划能力；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◆严谨的风险把控能力和沟通能力、商务谈判能力；</w:t>
            </w:r>
          </w:p>
          <w:p>
            <w:pPr>
              <w:rPr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◆良好的敬业精神和职业道德操守，有很强的感召力和凝聚力，责任心、事业心强。</w:t>
            </w:r>
          </w:p>
        </w:tc>
        <w:tc>
          <w:tcPr>
            <w:tcW w:w="2910" w:type="dxa"/>
          </w:tcPr>
          <w:p>
            <w:pPr>
              <w:pStyle w:val="14"/>
              <w:ind w:firstLine="0" w:firstLineChars="0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1．年薪：税前25万左右</w:t>
            </w:r>
          </w:p>
          <w:p>
            <w:pPr>
              <w:pStyle w:val="14"/>
              <w:ind w:firstLine="0" w:firstLineChars="0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  <w:p>
            <w:pPr>
              <w:pStyle w:val="14"/>
              <w:ind w:firstLine="0" w:firstLineChars="0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2．薪资构成：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基本工资</w:t>
            </w:r>
            <w:r>
              <w:rPr>
                <w:rFonts w:hint="eastAsia" w:hAnsi="Arial" w:cs="Arial"/>
                <w:szCs w:val="21"/>
                <w:shd w:val="clear" w:color="auto" w:fill="FFFFFF"/>
              </w:rPr>
              <w:t>+岗位工资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+五险一金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+租房补贴+年终体检+月度绩效+年终绩效</w:t>
            </w:r>
          </w:p>
          <w:p>
            <w:pPr>
              <w:pStyle w:val="14"/>
              <w:ind w:firstLine="0" w:firstLineChars="0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  <w:p>
            <w:pPr>
              <w:pStyle w:val="14"/>
              <w:ind w:firstLine="0" w:firstLineChars="0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3.其他激励机制：项目跟投机制奖励，项目跟投产生的盈亏由当事人自己承担</w:t>
            </w:r>
          </w:p>
          <w:p>
            <w:pPr>
              <w:pStyle w:val="14"/>
              <w:ind w:firstLine="0" w:firstLineChars="0"/>
              <w:rPr>
                <w:bCs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0" w:hRule="atLeast"/>
        </w:trPr>
        <w:tc>
          <w:tcPr>
            <w:tcW w:w="1492" w:type="dxa"/>
            <w:vAlign w:val="center"/>
          </w:tcPr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工投公司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副总经理</w:t>
            </w:r>
          </w:p>
          <w:p>
            <w:pPr>
              <w:rPr>
                <w:bCs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5302" w:type="dxa"/>
          </w:tcPr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1．协助总经理结合集团整体战略布局，组织制定和调整工投公司的发展规划；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2．在总经理授权范围内，全面负责主管的各项工作，并承担相应责任；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3．能围绕县委、县政府的招商工作，负责和招商引进的大型制造业项目进行对接和投资。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4．寻找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有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发展潜力的工业投资项目，全盘统筹相关项目的募投管退，及各环节沟通、把控，重点关注：有机硅、环保装备、新型电子、新能源、新动能产业投资等项目；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5．负责项目交易架构设计，包括项目投资分析、项目方案设计、招商及投标，同时整合银行、证券、基金、投资机构、保险等资源；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6．能围绕公司的经营发展规划和工作计划，负责编制公司投融资计划和费用预算，有效地筹划和运用公司资金；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7．能够运用各种投融资模式，筹集项目建设资金；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8．按照公司业务审批权限的规定，批准或审核所主管部门的业务开展，并承担相应责任。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905" w:type="dxa"/>
          </w:tcPr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年龄要求：45周岁及以下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教育背景: 本科及以上学历，企业管理、工业设计、金融等相关专业优先。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工作经验:3年以上工业、制造业、电子信息化、金融投资等相关行业机构高管工作经验，具备企业全面管理工作经验，具备有机硅、新能源及新能源汽车、电子信息行业相关投资研究工作经验优先。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技能技巧: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◆熟悉工业类投资平台企业业务和流程者优先，在团队管理方面有极强的领导技巧和才能；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◆熟悉企业全面运作，具有先进的管理理念以及很强的战略制定与实施能力,有广泛的工业类客户资源和社会资源；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◆具有财务、税收、法律、估值等综合知识技能和清晰的投资逻辑；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◆曾参与成功完成有影响力的重大并购项目、直接投资项目，并在项目中起到重要支撑作用的优先；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◆熟练使用办公软件。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态度: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◆敏锐的市场洞察力、优秀的项目组织能力及营销策划能力；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◆严谨的风险把控能力和沟通能力、商务谈判能力；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◆良好的敬业精神和职业道德操守，有很强的感召力和凝聚力，责任心、事业心强。</w:t>
            </w:r>
          </w:p>
          <w:p>
            <w:pPr>
              <w:rPr>
                <w:bCs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910" w:type="dxa"/>
          </w:tcPr>
          <w:p>
            <w:pPr>
              <w:pStyle w:val="14"/>
              <w:ind w:firstLine="0" w:firstLineChars="0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1．年薪：税前25万左右</w:t>
            </w:r>
          </w:p>
          <w:p>
            <w:pPr>
              <w:pStyle w:val="14"/>
              <w:ind w:firstLine="0" w:firstLineChars="0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  <w:p>
            <w:pPr>
              <w:pStyle w:val="14"/>
              <w:ind w:firstLine="0" w:firstLineChars="0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2．薪资构成：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基本工资</w:t>
            </w:r>
            <w:r>
              <w:rPr>
                <w:rFonts w:hint="eastAsia" w:hAnsi="Arial" w:cs="Arial"/>
                <w:szCs w:val="21"/>
                <w:shd w:val="clear" w:color="auto" w:fill="FFFFFF"/>
              </w:rPr>
              <w:t>+岗位工资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+五险一金+租房补贴+年终体检+月度绩效+年终绩效</w:t>
            </w:r>
          </w:p>
          <w:p>
            <w:pPr>
              <w:pStyle w:val="14"/>
              <w:ind w:firstLine="0" w:firstLineChars="0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  <w:p>
            <w:pPr>
              <w:pStyle w:val="14"/>
              <w:ind w:firstLine="0" w:firstLineChars="0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3.其他激励机制：项目跟投机制奖励，项目跟投产生的盈亏由当事人自己承担</w:t>
            </w:r>
          </w:p>
          <w:p>
            <w:pPr>
              <w:pStyle w:val="14"/>
              <w:ind w:firstLine="0" w:firstLineChars="0"/>
              <w:rPr>
                <w:bCs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1492" w:type="dxa"/>
            <w:vAlign w:val="center"/>
          </w:tcPr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农旅投公司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副总经理</w:t>
            </w:r>
          </w:p>
          <w:p>
            <w:pPr>
              <w:rPr>
                <w:bCs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5302" w:type="dxa"/>
          </w:tcPr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1.协助总经理结合集团整体战略布局，组织制定和调整农旅投公司的发展规划；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2.在总经理授权范围内，全面负责主管的各项工作，并承担相应责任；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3.寻找有发展潜力的农业、旅游业投资项目，全盘统筹相关项目的募投管退，及各环节沟通、把控，重点关注：PPP、特色小镇、旅游农业产业投资等项目；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4.负责项目交易架构设计，包括项目投资分析、项目方案设计、招商及投标，同时整合银行、证券、基金、投资机构、保险等资源；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5.负责制定项目规划，从项目评估选择、合作模式、运营模式、谈判策略、合同签订等环节进行把控；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6.负责对开发项目的合作团队评估、项目选址及开发方案评估、价值评估、工程建设施组方案与商务洽商；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7.组织撰写公司内部立项及决策所用的项目建议书、可行性研究报告。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905" w:type="dxa"/>
          </w:tcPr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年龄要求：45周岁及以下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教育背景: 本科及以上学历，农业、旅游业等相关专业优先。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工作经验:3年以上农业、旅游业等农旅相关产业机构高管工作经验，具备企业全面管理工作经验。熟悉农旅业投资等运作流程。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技能技巧: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◆熟悉农业及旅游业类企业业务和流程者优先，在团队管理方面有极强的领导技巧和才能；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◆熟悉企业全面运作，具有先进的管理理念以及很强的战略制定与实施能力,有广泛的农旅业客户资源和社会资源者；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◆熟悉国家相关农业及旅游业法律法规政策;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◆熟练使用办公软件。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态度: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◆敏锐的市场洞察力、优秀的项目组织能力及营销策划能力；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◆严谨的风险把控能力和沟通能力、商务谈判能力；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◆良好的敬业精神和职业道德操守，有很强的感召力和凝聚力，责任心、事业心强。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910" w:type="dxa"/>
          </w:tcPr>
          <w:p>
            <w:pPr>
              <w:pStyle w:val="14"/>
              <w:ind w:firstLine="0" w:firstLineChars="0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1．年薪：税前25万左右</w:t>
            </w:r>
          </w:p>
          <w:p>
            <w:pPr>
              <w:pStyle w:val="14"/>
              <w:ind w:firstLine="0" w:firstLineChars="0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  <w:p>
            <w:pPr>
              <w:pStyle w:val="14"/>
              <w:ind w:firstLine="0" w:firstLineChars="0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2．薪资构成：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基本工资</w:t>
            </w:r>
            <w:r>
              <w:rPr>
                <w:rFonts w:hint="eastAsia" w:hAnsi="Arial" w:cs="Arial"/>
                <w:szCs w:val="21"/>
                <w:shd w:val="clear" w:color="auto" w:fill="FFFFFF"/>
              </w:rPr>
              <w:t>+岗位工资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+五险一金+租房补贴+年终体检+月度绩效+年终绩效</w:t>
            </w:r>
          </w:p>
          <w:p>
            <w:pPr>
              <w:pStyle w:val="14"/>
              <w:ind w:firstLine="0" w:firstLineChars="0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  <w:p>
            <w:pPr>
              <w:pStyle w:val="14"/>
              <w:ind w:firstLine="0" w:firstLineChars="0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3.其他激励机制：项目跟投机制奖励，项目跟投产生的盈亏由当事人自己承担</w:t>
            </w:r>
          </w:p>
          <w:p>
            <w:pPr>
              <w:pStyle w:val="14"/>
              <w:ind w:firstLine="0" w:firstLineChars="0"/>
              <w:rPr>
                <w:bCs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1" w:hRule="atLeast"/>
        </w:trPr>
        <w:tc>
          <w:tcPr>
            <w:tcW w:w="1492" w:type="dxa"/>
            <w:vAlign w:val="center"/>
          </w:tcPr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金投公司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副总经理</w:t>
            </w:r>
          </w:p>
          <w:p>
            <w:pPr>
              <w:rPr>
                <w:bCs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5302" w:type="dxa"/>
          </w:tcPr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1．协助总经理结合集团整体战略布局，组织制定和调整金投公司的发展规划；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2．在总经理授权范围内，全面负责主管的各项工作，并承担相应责任；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3．协助总经理负责对公司投融资运作进行全面的统筹的战略管理，建立、开发和管理公司与国内外资本市场的业务渠道，全面规划融资项目；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4．负责公司融资业务策略的制定，统筹公司融资管理确保公司投融资计划的落实；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5．负责策划、编制融资项目的可行性分析报告以及风险控制报告，提出融资项目的具体运作方案；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6．对公司的资金进行合理的调配，监督其资金使用情况，提高资金的使用效率，进行企业内部融资；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7．负责控制和监督融资方案的具体执行进度、并提供融资效益分析报告；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8．负责公司业务风险预警体系的构建及业务风险的把控；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9．负责与公司业务或者投资部门进行沟通协调，负责保证公司所需的正常的现金和资金；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10．建立、维护和开拓融资渠道，保持与相关金融机构以及中介机构的良好关系。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905" w:type="dxa"/>
          </w:tcPr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年龄要求：45周岁及以下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教育背景: 本科及以上学历，经济、金融等相关专业优先。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工作经验:3年以上银行、信托、基金、金控类等相关机构高管工作经验，具备企业全面管理工作经验。熟悉银行、信托、私募基金等运作流程，且在相关业务有过较大成就 ，在金融领域人脉广泛优先。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技能技巧: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◆熟悉金融类企业业务和流程者优先，在团队管理方面有极强的领导技巧和才能；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◆熟悉企业全面运作，具有先进的管理理念以及很强的战略制定与实施能力,有广泛的金融客户资源和社会资源；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◆熟悉国家相关法律法规政策;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◆熟悉金融类产品创新和风险管控；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◆熟练使用办公软件。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态度: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◆敏锐的市场洞察力、优秀的金融产品创新和项目组织能力；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◆严谨的风险把控能力和沟通能力、商务谈判能力；</w:t>
            </w:r>
          </w:p>
          <w:p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◆良好的敬业精神和职业道德操守，有很强的感召力和凝聚力，责任心、事业心强。</w:t>
            </w:r>
          </w:p>
          <w:p>
            <w:pPr>
              <w:rPr>
                <w:bCs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910" w:type="dxa"/>
          </w:tcPr>
          <w:p>
            <w:pPr>
              <w:pStyle w:val="14"/>
              <w:ind w:firstLine="0" w:firstLineChars="0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1．年薪：税前25万左右</w:t>
            </w:r>
          </w:p>
          <w:p>
            <w:pPr>
              <w:pStyle w:val="14"/>
              <w:ind w:firstLine="0" w:firstLineChars="0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  <w:p>
            <w:pPr>
              <w:pStyle w:val="14"/>
              <w:ind w:firstLine="0" w:firstLineChars="0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2．薪资构成：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基本工资</w:t>
            </w:r>
            <w:r>
              <w:rPr>
                <w:rFonts w:hint="eastAsia" w:hAnsi="Arial" w:cs="Arial"/>
                <w:szCs w:val="21"/>
                <w:shd w:val="clear" w:color="auto" w:fill="FFFFFF"/>
              </w:rPr>
              <w:t>+岗位工资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+五险一金+租房补贴+年终体检+月度绩效+年终绩效</w:t>
            </w:r>
          </w:p>
          <w:p>
            <w:pPr>
              <w:pStyle w:val="14"/>
              <w:ind w:firstLine="0" w:firstLineChars="0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  <w:p>
            <w:pPr>
              <w:pStyle w:val="14"/>
              <w:ind w:firstLine="0" w:firstLineChars="0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3.其他激励机制：项目跟投机制奖励，项目跟投产生的盈亏由当事人自己承担</w:t>
            </w:r>
          </w:p>
          <w:p>
            <w:pPr>
              <w:pStyle w:val="14"/>
              <w:ind w:firstLine="0" w:firstLineChars="0"/>
              <w:rPr>
                <w:bCs/>
                <w:color w:val="333333"/>
                <w:szCs w:val="21"/>
                <w:shd w:val="clear" w:color="auto" w:fill="FFFFFF"/>
              </w:rPr>
            </w:pPr>
          </w:p>
        </w:tc>
      </w:tr>
    </w:tbl>
    <w:p>
      <w:pPr>
        <w:pStyle w:val="14"/>
        <w:ind w:firstLine="0" w:firstLineChars="0"/>
        <w:rPr>
          <w:rFonts w:hint="eastAsia" w:ascii="CTHeiTiSJ" w:hAnsi="CTHeiTiSJ" w:cs="宋体"/>
          <w:kern w:val="0"/>
          <w:sz w:val="20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ind w:firstLine="63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附件2:江西赣江新区永修投资集团有限公司公开招聘报名表</w:t>
      </w:r>
    </w:p>
    <w:tbl>
      <w:tblPr>
        <w:tblStyle w:val="10"/>
        <w:tblW w:w="103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58"/>
        <w:gridCol w:w="189"/>
        <w:gridCol w:w="1035"/>
        <w:gridCol w:w="523"/>
        <w:gridCol w:w="753"/>
        <w:gridCol w:w="1058"/>
        <w:gridCol w:w="723"/>
        <w:gridCol w:w="430"/>
        <w:gridCol w:w="56"/>
        <w:gridCol w:w="993"/>
        <w:gridCol w:w="421"/>
        <w:gridCol w:w="443"/>
        <w:gridCol w:w="412"/>
        <w:gridCol w:w="284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14" w:type="dxa"/>
            <w:gridSpan w:val="16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14" w:type="dxa"/>
            <w:gridSpan w:val="16"/>
          </w:tcPr>
          <w:p>
            <w:pPr>
              <w:spacing w:line="46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报考岗位：</w:t>
            </w:r>
            <w:r>
              <w:rPr>
                <w:rFonts w:hint="eastAsia" w:ascii="宋体" w:hAnsi="宋体"/>
                <w:sz w:val="20"/>
                <w:szCs w:val="21"/>
              </w:rPr>
              <w:t xml:space="preserve">□城投公司副总经理  □工投公司副总经理 □农旅投公司副总经理  □金投公司副总经理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(证件姓名)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0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10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年龄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0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5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婚育状况</w:t>
            </w:r>
          </w:p>
        </w:tc>
        <w:tc>
          <w:tcPr>
            <w:tcW w:w="3217" w:type="dxa"/>
            <w:gridSpan w:val="5"/>
            <w:vAlign w:val="center"/>
          </w:tcPr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□已婚已育  □已婚未育  </w:t>
            </w:r>
          </w:p>
          <w:p>
            <w:pPr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□未婚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个人邮箱</w:t>
            </w:r>
          </w:p>
        </w:tc>
        <w:tc>
          <w:tcPr>
            <w:tcW w:w="17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</w:t>
            </w:r>
          </w:p>
        </w:tc>
        <w:tc>
          <w:tcPr>
            <w:tcW w:w="5419" w:type="dxa"/>
            <w:gridSpan w:val="9"/>
            <w:vAlign w:val="center"/>
          </w:tcPr>
          <w:p>
            <w:pPr>
              <w:spacing w:line="360" w:lineRule="exact"/>
              <w:ind w:firstLine="735" w:firstLineChars="3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355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档案所在地</w:t>
            </w:r>
          </w:p>
        </w:tc>
        <w:tc>
          <w:tcPr>
            <w:tcW w:w="4696" w:type="dxa"/>
            <w:gridSpan w:val="8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10314" w:type="dxa"/>
            <w:gridSpan w:val="16"/>
          </w:tcPr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如遇紧急事故，请联络：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姓名：        电话：      与联络人的关系：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0314" w:type="dxa"/>
            <w:gridSpan w:val="16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主  要  家  庭  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姓  名</w:t>
            </w:r>
          </w:p>
        </w:tc>
        <w:tc>
          <w:tcPr>
            <w:tcW w:w="19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关  系</w:t>
            </w:r>
          </w:p>
        </w:tc>
        <w:tc>
          <w:tcPr>
            <w:tcW w:w="25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工作单位、部门</w:t>
            </w:r>
          </w:p>
        </w:tc>
        <w:tc>
          <w:tcPr>
            <w:tcW w:w="275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职务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1179" w:type="dxa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34" w:type="dxa"/>
            <w:gridSpan w:val="3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5" w:type="dxa"/>
            <w:gridSpan w:val="6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41" w:type="dxa"/>
            <w:gridSpan w:val="2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79" w:type="dxa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34" w:type="dxa"/>
            <w:gridSpan w:val="3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55" w:type="dxa"/>
            <w:gridSpan w:val="6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41" w:type="dxa"/>
            <w:gridSpan w:val="2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4" w:type="dxa"/>
            <w:gridSpan w:val="16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学历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就读学校名称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专业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由年月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至年月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其它培训课程</w:t>
            </w:r>
          </w:p>
        </w:tc>
        <w:tc>
          <w:tcPr>
            <w:tcW w:w="8788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0314" w:type="dxa"/>
            <w:gridSpan w:val="16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专  业  资  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颁发时间</w:t>
            </w:r>
          </w:p>
        </w:tc>
        <w:tc>
          <w:tcPr>
            <w:tcW w:w="457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颁发机构</w:t>
            </w:r>
          </w:p>
        </w:tc>
        <w:tc>
          <w:tcPr>
            <w:tcW w:w="421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7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1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7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1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7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1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4" w:type="dxa"/>
            <w:gridSpan w:val="16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/>
                <w:b/>
                <w:sz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时间</w:t>
            </w:r>
          </w:p>
        </w:tc>
        <w:tc>
          <w:tcPr>
            <w:tcW w:w="19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工作单位及职务</w:t>
            </w:r>
          </w:p>
        </w:tc>
        <w:tc>
          <w:tcPr>
            <w:tcW w:w="487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主要工作成就</w:t>
            </w:r>
          </w:p>
        </w:tc>
        <w:tc>
          <w:tcPr>
            <w:tcW w:w="23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exac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7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7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exac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7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7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0314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  <w:jc w:val="center"/>
        </w:trPr>
        <w:tc>
          <w:tcPr>
            <w:tcW w:w="10314" w:type="dxa"/>
            <w:gridSpan w:val="16"/>
          </w:tcPr>
          <w:p>
            <w:pPr>
              <w:spacing w:line="360" w:lineRule="exact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220" w:firstLineChars="100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1. 本人声明，就本人所知，在此表格内所陈述各项，全属确实无讹。</w:t>
            </w:r>
          </w:p>
          <w:p>
            <w:pPr>
              <w:spacing w:line="360" w:lineRule="exact"/>
              <w:ind w:firstLine="220" w:firstLineChars="100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2. 本人明白若故意虚报资料或隐瞒重要事实，公司可立即解雇本人</w:t>
            </w:r>
            <w:r>
              <w:rPr>
                <w:rFonts w:hint="eastAsia" w:ascii="宋体" w:hAnsi="宋体"/>
                <w:sz w:val="22"/>
              </w:rPr>
              <w:t>，且不支付任何补偿</w:t>
            </w:r>
            <w:r>
              <w:rPr>
                <w:rFonts w:ascii="宋体" w:hAnsi="宋体"/>
                <w:sz w:val="22"/>
              </w:rPr>
              <w:t>。</w:t>
            </w:r>
          </w:p>
          <w:p>
            <w:pPr>
              <w:spacing w:line="360" w:lineRule="exact"/>
              <w:ind w:firstLine="220" w:firstLineChars="100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3. 本人授权限公司调查上述资料，以作入职审核之用。</w:t>
            </w:r>
          </w:p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exact"/>
              <w:ind w:firstLine="3973" w:firstLineChars="189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签  字：     日  期：</w:t>
            </w:r>
          </w:p>
        </w:tc>
      </w:tr>
    </w:tbl>
    <w:p>
      <w:pPr>
        <w:rPr>
          <w:rFonts w:ascii="宋体" w:hAnsi="宋体"/>
          <w:szCs w:val="21"/>
        </w:rPr>
      </w:pPr>
    </w:p>
    <w:p>
      <w:pPr>
        <w:pStyle w:val="14"/>
        <w:ind w:firstLine="0" w:firstLineChars="0"/>
        <w:rPr>
          <w:rFonts w:hint="eastAsia" w:ascii="CTHeiTiSJ" w:hAnsi="CTHeiTiSJ" w:cs="宋体"/>
          <w:kern w:val="0"/>
          <w:sz w:val="20"/>
        </w:rPr>
      </w:pPr>
    </w:p>
    <w:sectPr>
      <w:footerReference r:id="rId5" w:type="default"/>
      <w:pgSz w:w="11906" w:h="16838"/>
      <w:pgMar w:top="567" w:right="1134" w:bottom="567" w:left="1043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THeiTiSJ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</w:rPr>
                          </w:pPr>
                          <w:r>
                            <w:rPr>
                              <w:rStyle w:val="9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- 8 -</w:t>
                          </w:r>
                          <w:r>
                            <w:rPr>
                              <w:rStyle w:val="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o:spid="_x0000_s1026" o:spt="1" style="position:absolute;left:0pt;margin-top:0pt;height:11pt;width:14.15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dHzI60QAAAAMBAAAPAAAAAAAAAAEAIAAA&#10;ACIAAABkcnMvZG93bnJldi54bWxQSwECFAAUAAAACACHTuJAr2kXGKEBAABBAwAADgAAAAAAAAAB&#10;ACAAAAAgAQAAZHJzL2Uyb0RvYy54bWxQSwUGAAAAAAYABgBZAQAAM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</w:rPr>
                    </w:pPr>
                    <w:r>
                      <w:rPr>
                        <w:rStyle w:val="9"/>
                      </w:rP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rPr>
                        <w:rStyle w:val="9"/>
                      </w:rPr>
                      <w:fldChar w:fldCharType="separate"/>
                    </w:r>
                    <w:r>
                      <w:rPr>
                        <w:rStyle w:val="9"/>
                      </w:rPr>
                      <w:t>- 8 -</w:t>
                    </w:r>
                    <w:r>
                      <w:rPr>
                        <w:rStyle w:val="9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61"/>
    <w:rsid w:val="00254E8C"/>
    <w:rsid w:val="004156EC"/>
    <w:rsid w:val="008B0639"/>
    <w:rsid w:val="00A10B61"/>
    <w:rsid w:val="00F05EC5"/>
    <w:rsid w:val="00FD4D87"/>
    <w:rsid w:val="2F335957"/>
    <w:rsid w:val="4BDB0C25"/>
    <w:rsid w:val="546A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眉 Char"/>
    <w:basedOn w:val="7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00D77C-1438-C949-88A7-A14AAD1448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上海驿到网络科技股份有限公司</Company>
  <Pages>11</Pages>
  <Words>918</Words>
  <Characters>5239</Characters>
  <Lines>43</Lines>
  <Paragraphs>12</Paragraphs>
  <TotalTime>7</TotalTime>
  <ScaleCrop>false</ScaleCrop>
  <LinksUpToDate>false</LinksUpToDate>
  <CharactersWithSpaces>6145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2019-02-15T01:28:00Z</dcterms:created>
  <dc:creator>Administrator</dc:creator>
  <cp:lastModifiedBy>Administrator</cp:lastModifiedBy>
  <cp:lastPrinted>2019-02-14T05:37:00Z</cp:lastPrinted>
  <dcterms:modified xsi:type="dcterms:W3CDTF">2019-02-18T02:46:44Z</dcterms:modified>
  <dc:title>江西赣江新区开发投资有限责任公司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