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2E" w:rsidRPr="000D172E" w:rsidRDefault="000D172E" w:rsidP="000D172E">
      <w:pPr>
        <w:widowControl/>
        <w:shd w:val="clear" w:color="auto" w:fill="FFFFFF"/>
        <w:spacing w:line="450" w:lineRule="atLeast"/>
        <w:ind w:firstLine="560"/>
        <w:jc w:val="left"/>
        <w:rPr>
          <w:rFonts w:ascii="Arial" w:eastAsia="宋体" w:hAnsi="Arial" w:cs="Arial"/>
          <w:color w:val="333333"/>
          <w:kern w:val="0"/>
          <w:szCs w:val="21"/>
        </w:rPr>
      </w:pPr>
      <w:r w:rsidRPr="000D172E">
        <w:rPr>
          <w:rFonts w:ascii="仿宋" w:eastAsia="仿宋" w:hAnsi="Arial" w:cs="Arial" w:hint="eastAsia"/>
          <w:color w:val="333333"/>
          <w:kern w:val="0"/>
          <w:sz w:val="28"/>
          <w:szCs w:val="28"/>
        </w:rPr>
        <w:t>招聘岗位、人数和条件</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30"/>
        <w:gridCol w:w="480"/>
        <w:gridCol w:w="6180"/>
      </w:tblGrid>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b/>
                <w:bCs/>
                <w:kern w:val="0"/>
                <w:sz w:val="24"/>
                <w:szCs w:val="24"/>
              </w:rPr>
              <w:t>招聘岗位</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b/>
                <w:bCs/>
                <w:kern w:val="0"/>
                <w:sz w:val="24"/>
                <w:szCs w:val="24"/>
              </w:rPr>
              <w:t>招聘</w:t>
            </w:r>
          </w:p>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b/>
                <w:bCs/>
                <w:kern w:val="0"/>
                <w:sz w:val="24"/>
                <w:szCs w:val="24"/>
              </w:rPr>
              <w:t>人数</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b/>
                <w:bCs/>
                <w:kern w:val="0"/>
                <w:sz w:val="24"/>
                <w:szCs w:val="24"/>
              </w:rPr>
              <w:t>岗位招聘要求与条件</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机制专业教师岗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机械制造及其自动化、机械设计与理论、精密仪器及机械专业，全日制硕士研究生及以上学历学位；第一学历为相同或相近专业的全日制统招本科；年龄在35周岁以下（1981年5月1日以后出生）。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模具专业教师岗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color w:val="000000"/>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材料加工工程专业（模具方向），全日制硕士研究生及以上学历学位；第一学历为相同或相近专业的全日制统招本科；年龄在35周岁以下（1981年5月1日以后出生）。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焊接专业教师岗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材料科学与工程专业（焊接技术方向），全日制硕士研究生及以上学历学位；第一学历为相同或相近专业的全日制统招本科；年龄在35周岁以下（1981年5月1日以后出生）。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汽车专业教师岗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车辆工程、交通运输工程专业，全日制硕士研究生及以上学历学位；第一学历为相同或相近专业的全日制统招本科；年龄在35周岁以下（1981年5月1日以后出生）。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数控专业教师岗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机械电子工程、机械制造及其自动化专业（数控技术方向），全日制硕士研究生及以上学历学位；第一学历为相同或相近专业的全日制统招本科；年龄在35周岁以下（1981年5月1日以后出生）。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电气自动化专业教师岗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电力电子与电力传动、电气工程专业，全日制硕士研究生及以上学历学位；第一学历为相同或相近专业的全日制统招本科；年龄在35周岁以下（1981年5月1日以后出生）。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楼宇智能化专业教师岗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电气工程、控制科学与工程专业（智能建筑与管理、建筑电气及智能化方向），全日制硕士研究生及以上学历学位；第一学历为相同或相近专业的全日制统招本科；年龄在35周岁以下（1981年5月1日以后出生）。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物联网专业</w:t>
            </w:r>
            <w:r w:rsidRPr="000D172E">
              <w:rPr>
                <w:rFonts w:ascii="仿宋" w:eastAsia="仿宋" w:hAnsi="宋体" w:cs="宋体" w:hint="eastAsia"/>
                <w:kern w:val="0"/>
                <w:sz w:val="24"/>
                <w:szCs w:val="24"/>
              </w:rPr>
              <w:lastRenderedPageBreak/>
              <w:t>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lastRenderedPageBreak/>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信息与通信工程、电子与通信工程专业（物联网方向），全</w:t>
            </w:r>
            <w:r w:rsidRPr="000D172E">
              <w:rPr>
                <w:rFonts w:ascii="仿宋" w:eastAsia="仿宋" w:hAnsi="宋体" w:cs="宋体" w:hint="eastAsia"/>
                <w:kern w:val="0"/>
                <w:sz w:val="24"/>
                <w:szCs w:val="24"/>
              </w:rPr>
              <w:lastRenderedPageBreak/>
              <w:t>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lastRenderedPageBreak/>
              <w:t>电子信息工程专业教师岗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信息与通信工程、电子与通信工程专业，全日制硕士研究生及以上学历学位；第一学历为相同或相近专业的全日制统招本科；年龄在35周岁以下（1981年5月1日以后出生）。要求具有参加或指导学生参加省级及以上电子技能竞赛获奖的专业经历。</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通信工程专业教师岗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信息与通信工程、电子与通信工程专业，全日制硕士研究生及以上学历学位；第一学历为相同或相近专业的全日制统招本科；年龄在35周岁以下（1981年5月1日以后出生）。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数字媒体技术专业教师岗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计算机科学与技术专业（数字媒体技术、数字艺术与设计、数字展示与控制方向）</w:t>
            </w:r>
            <w:r w:rsidRPr="000D172E">
              <w:rPr>
                <w:rFonts w:ascii="仿宋" w:eastAsia="仿宋" w:hAnsi="宋体" w:cs="宋体" w:hint="eastAsia"/>
                <w:b/>
                <w:bCs/>
                <w:kern w:val="0"/>
                <w:sz w:val="24"/>
                <w:szCs w:val="24"/>
              </w:rPr>
              <w:t>，</w:t>
            </w:r>
            <w:r w:rsidRPr="000D172E">
              <w:rPr>
                <w:rFonts w:ascii="仿宋" w:eastAsia="仿宋" w:hAnsi="宋体" w:cs="宋体" w:hint="eastAsia"/>
                <w:kern w:val="0"/>
                <w:sz w:val="24"/>
                <w:szCs w:val="24"/>
              </w:rPr>
              <w:t>全日制硕士研究生及以上学历学位；第一学历为相同或相近专业的全日制统招本科；年龄在35周岁以下（1981年5月1日以后出生）。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建筑工程专业教师岗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土木工程、结构工程、地质资源与地质工程专业，全日制硕士研究生及以上学历学位；第一学历为相同或相近专业全日制统招本科；年龄在35周岁以下（1981年5月1日以后出生）；具有一年以上专业实践工作经历。</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工程造价专业教师岗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管理科学与工程、土木工程专业（工程管理、工程造价方向），全日制硕士研究生及以上学历学位；第一学历为相同或相近专业的全日制统招本科；年龄在35周岁以下（1981年5月1日以后出生）；具有一年以上专业实践工作经历。</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法律教师岗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法学专业，全日制硕士研究生及以上学历学位；第一学历为相近或经济管理类专业的全日制统招本科；年龄在35周岁以下（1981年5月1日以后出生）。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市场营销专业教师岗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工商管理、企业管理、产业经济学、国际贸易学专业，全日制硕士研究生及以上学历学位；第一学历为市场营销或相近专业的全日制统招本科；年龄在30周岁以下（1986年5月1日以后出生）。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lastRenderedPageBreak/>
              <w:t>物流管理专业教师岗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管理科学与工程专业（物流与供应链管理方向），全日制硕士研究生及以上学历学位；第一学历为相同或相近专业的全日制统招本科；年龄在30周岁以下（1986年5月1日以后出生）。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电子商务专业教师岗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管理科学与工程、通信与信息系统（电子商务方向）专业，全日制硕士研究生及以上学历学位；第一学历为相同或相近专业的全日制统招本科；年龄在30周岁以下（1986年5月1日以后出生）。</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空中乘务专业教师岗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旅游管理、音乐与舞蹈学专业（舞蹈表演与研究方向），全日制硕士研究生及以上学历学位；第一学历为空中乘务或舞蹈学或相近专业全日制统招本科；年龄在30周岁以下（1986年5月1日以后出生）。要求女性身高在162cm、男性身高在172cm以上，形象气质佳。</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声乐教师岗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音乐与舞蹈学专业（音乐表演方向），全日制硕士研究生及以上学历学位；第一学历为相同或相近专业的全日制统招本科；年龄在30周岁以下（1986年5月1日以后出生）。要求女性身高在162cm、男性身高在172cm以上，形象气质佳。</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数学教师岗</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应用数学、计算数学、概率论与数理统计、数学与信息技术专业，全日制硕士研究生及以上学历学位；第一学历为相同或相近专业的全日制统招本科；年龄在30周岁以下（1986年5月1日以后出生）。要求具有参加或指导学生参加省级及以上数学建模竞赛等数学类竞赛获奖的专业经历。</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宣传干事</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2</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中国语言文学、哲学、新闻学、传播学、思想政治教育专业，全日制硕士研究生及以上学历学位；第一学历为</w:t>
            </w:r>
            <w:proofErr w:type="gramStart"/>
            <w:r w:rsidRPr="000D172E">
              <w:rPr>
                <w:rFonts w:ascii="仿宋" w:eastAsia="仿宋" w:hAnsi="宋体" w:cs="宋体" w:hint="eastAsia"/>
                <w:kern w:val="0"/>
                <w:sz w:val="24"/>
                <w:szCs w:val="24"/>
              </w:rPr>
              <w:t>文史法哲类</w:t>
            </w:r>
            <w:proofErr w:type="gramEnd"/>
            <w:r w:rsidRPr="000D172E">
              <w:rPr>
                <w:rFonts w:ascii="仿宋" w:eastAsia="仿宋" w:hAnsi="宋体" w:cs="宋体" w:hint="eastAsia"/>
                <w:kern w:val="0"/>
                <w:sz w:val="24"/>
                <w:szCs w:val="24"/>
              </w:rPr>
              <w:t>专业的全日制统招本科；年龄在30周岁以下（1986年5月1日以后出生）；要求为中国共产党党员。</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心理咨询干事</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心理学专业，全日制硕士研究生及以上学历学位；第一学历为相同或相近专业的全日制统招本科；年龄在35周岁以下（1981年5月1日以后出生）；具有两年以上专业实践工作经历，具有</w:t>
            </w:r>
            <w:r w:rsidRPr="000D172E">
              <w:rPr>
                <w:rFonts w:ascii="仿宋" w:eastAsia="仿宋" w:hAnsi="宋体" w:cs="宋体" w:hint="eastAsia"/>
                <w:color w:val="000000"/>
                <w:kern w:val="0"/>
                <w:sz w:val="24"/>
                <w:szCs w:val="24"/>
              </w:rPr>
              <w:t>国家二级及以上心理咨询师证书。</w:t>
            </w:r>
          </w:p>
        </w:tc>
      </w:tr>
      <w:tr w:rsidR="000D172E" w:rsidRPr="000D172E" w:rsidTr="000D172E">
        <w:trPr>
          <w:jc w:val="center"/>
        </w:trPr>
        <w:tc>
          <w:tcPr>
            <w:tcW w:w="123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lastRenderedPageBreak/>
              <w:t>审计监察干事</w:t>
            </w:r>
          </w:p>
        </w:tc>
        <w:tc>
          <w:tcPr>
            <w:tcW w:w="4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center"/>
              <w:rPr>
                <w:rFonts w:ascii="宋体" w:eastAsia="宋体" w:hAnsi="宋体" w:cs="宋体"/>
                <w:kern w:val="0"/>
                <w:sz w:val="24"/>
                <w:szCs w:val="24"/>
              </w:rPr>
            </w:pPr>
            <w:r w:rsidRPr="000D172E">
              <w:rPr>
                <w:rFonts w:ascii="仿宋" w:eastAsia="仿宋" w:hAnsi="宋体" w:cs="宋体" w:hint="eastAsia"/>
                <w:kern w:val="0"/>
                <w:sz w:val="24"/>
                <w:szCs w:val="24"/>
              </w:rPr>
              <w:t>1</w:t>
            </w:r>
          </w:p>
        </w:tc>
        <w:tc>
          <w:tcPr>
            <w:tcW w:w="6180" w:type="dxa"/>
            <w:tcBorders>
              <w:top w:val="single" w:sz="6" w:space="0" w:color="000000"/>
              <w:left w:val="single" w:sz="6" w:space="0" w:color="000000"/>
              <w:bottom w:val="single" w:sz="6" w:space="0" w:color="000000"/>
              <w:right w:val="single" w:sz="6" w:space="0" w:color="000000"/>
            </w:tcBorders>
            <w:vAlign w:val="center"/>
            <w:hideMark/>
          </w:tcPr>
          <w:p w:rsidR="000D172E" w:rsidRPr="000D172E" w:rsidRDefault="000D172E" w:rsidP="000D172E">
            <w:pPr>
              <w:widowControl/>
              <w:spacing w:line="450" w:lineRule="atLeast"/>
              <w:jc w:val="left"/>
              <w:rPr>
                <w:rFonts w:ascii="宋体" w:eastAsia="宋体" w:hAnsi="宋体" w:cs="宋体"/>
                <w:kern w:val="0"/>
                <w:sz w:val="24"/>
                <w:szCs w:val="24"/>
              </w:rPr>
            </w:pPr>
            <w:r w:rsidRPr="000D172E">
              <w:rPr>
                <w:rFonts w:ascii="仿宋" w:eastAsia="仿宋" w:hAnsi="宋体" w:cs="宋体" w:hint="eastAsia"/>
                <w:kern w:val="0"/>
                <w:sz w:val="24"/>
                <w:szCs w:val="24"/>
              </w:rPr>
              <w:t>会计学、审计学、财务管理专业，全日制硕士研究生及以上学历学位；第一学历为相同或相近专业的全日制统招本科；年龄在35周岁以下（1981年5月1日以后出生）；具有两年以上专业实践工作经历。</w:t>
            </w:r>
          </w:p>
        </w:tc>
      </w:tr>
    </w:tbl>
    <w:p w:rsidR="00D0123D" w:rsidRPr="000D172E" w:rsidRDefault="00D0123D"/>
    <w:sectPr w:rsidR="00D0123D" w:rsidRPr="000D172E" w:rsidSect="00D01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72E"/>
    <w:rsid w:val="000D172E"/>
    <w:rsid w:val="00D01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172E"/>
    <w:rPr>
      <w:b/>
      <w:bCs/>
    </w:rPr>
  </w:style>
</w:styles>
</file>

<file path=word/webSettings.xml><?xml version="1.0" encoding="utf-8"?>
<w:webSettings xmlns:r="http://schemas.openxmlformats.org/officeDocument/2006/relationships" xmlns:w="http://schemas.openxmlformats.org/wordprocessingml/2006/main">
  <w:divs>
    <w:div w:id="828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2016-06-12T06:42:00Z</dcterms:created>
  <dcterms:modified xsi:type="dcterms:W3CDTF">2016-06-12T06:42:00Z</dcterms:modified>
</cp:coreProperties>
</file>